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D9147">
      <w:pPr>
        <w:snapToGrid w:val="0"/>
        <w:jc w:val="center"/>
        <w:rPr>
          <w:rFonts w:hint="eastAsia" w:ascii="宋体" w:hAnsi="宋体"/>
          <w:b/>
          <w:bCs/>
          <w:spacing w:val="20"/>
          <w:w w:val="80"/>
          <w:sz w:val="52"/>
          <w:szCs w:val="52"/>
        </w:rPr>
      </w:pPr>
    </w:p>
    <w:p w14:paraId="000B0266">
      <w:pPr>
        <w:snapToGrid w:val="0"/>
        <w:jc w:val="center"/>
        <w:rPr>
          <w:rFonts w:hint="eastAsia" w:ascii="方正小标宋简体" w:hAnsi="仿宋" w:eastAsia="方正小标宋简体"/>
          <w:kern w:val="0"/>
          <w:sz w:val="44"/>
          <w:szCs w:val="44"/>
        </w:rPr>
      </w:pPr>
      <w:r>
        <w:rPr>
          <w:rFonts w:hint="eastAsia" w:ascii="方正小标宋简体" w:hAnsi="仿宋" w:eastAsia="方正小标宋简体"/>
          <w:kern w:val="0"/>
          <w:sz w:val="44"/>
          <w:szCs w:val="44"/>
        </w:rPr>
        <w:t>四川蜀道新能源科技发展有限公司</w:t>
      </w:r>
    </w:p>
    <w:p w14:paraId="3F12DE86">
      <w:pPr>
        <w:snapToGrid w:val="0"/>
        <w:jc w:val="center"/>
        <w:rPr>
          <w:rFonts w:hint="eastAsia" w:ascii="方正小标宋简体" w:hAnsi="仿宋" w:eastAsia="方正小标宋简体" w:cs="Times New Roman"/>
          <w:kern w:val="0"/>
          <w:sz w:val="44"/>
          <w:szCs w:val="44"/>
          <w:lang w:eastAsia="zh-CN"/>
        </w:rPr>
      </w:pPr>
      <w:r>
        <w:rPr>
          <w:rFonts w:hint="eastAsia" w:ascii="方正小标宋简体" w:hAnsi="仿宋" w:eastAsia="方正小标宋简体" w:cs="Times New Roman"/>
          <w:kern w:val="0"/>
          <w:sz w:val="44"/>
          <w:szCs w:val="44"/>
          <w:lang w:eastAsia="zh-CN"/>
        </w:rPr>
        <w:t>绵九高速柴门关</w:t>
      </w:r>
      <w:r>
        <w:rPr>
          <w:rFonts w:hint="eastAsia" w:ascii="方正小标宋简体" w:hAnsi="仿宋" w:eastAsia="方正小标宋简体" w:cs="Times New Roman"/>
          <w:kern w:val="0"/>
          <w:sz w:val="44"/>
          <w:szCs w:val="44"/>
          <w:lang w:val="en-US" w:eastAsia="zh-CN"/>
        </w:rPr>
        <w:t>服务区</w:t>
      </w:r>
      <w:r>
        <w:rPr>
          <w:rFonts w:hint="eastAsia" w:ascii="方正小标宋简体" w:hAnsi="仿宋" w:eastAsia="方正小标宋简体" w:cs="Times New Roman"/>
          <w:kern w:val="0"/>
          <w:sz w:val="44"/>
          <w:szCs w:val="44"/>
          <w:lang w:eastAsia="zh-CN"/>
        </w:rPr>
        <w:t>充电站新建项目</w:t>
      </w:r>
    </w:p>
    <w:p w14:paraId="611190F8">
      <w:pPr>
        <w:snapToGrid w:val="0"/>
        <w:jc w:val="center"/>
        <w:rPr>
          <w:rFonts w:hint="eastAsia" w:ascii="方正小标宋简体" w:hAnsi="仿宋" w:eastAsia="方正小标宋简体"/>
          <w:kern w:val="0"/>
          <w:sz w:val="44"/>
          <w:szCs w:val="44"/>
        </w:rPr>
      </w:pPr>
      <w:r>
        <w:rPr>
          <w:rFonts w:hint="eastAsia" w:ascii="方正小标宋简体" w:hAnsi="仿宋" w:eastAsia="方正小标宋简体" w:cs="Times New Roman"/>
          <w:kern w:val="0"/>
          <w:sz w:val="44"/>
          <w:szCs w:val="44"/>
          <w:lang w:eastAsia="zh-CN"/>
        </w:rPr>
        <w:t>充电设备采购</w:t>
      </w:r>
    </w:p>
    <w:p w14:paraId="1780AE45">
      <w:pPr>
        <w:pStyle w:val="15"/>
        <w:rPr>
          <w:rFonts w:ascii="Times New Roman" w:hAnsi="Times New Roman"/>
        </w:rPr>
      </w:pPr>
    </w:p>
    <w:p w14:paraId="3EAA5453">
      <w:pPr>
        <w:pStyle w:val="15"/>
        <w:jc w:val="center"/>
        <w:rPr>
          <w:rFonts w:ascii="Times New Roman" w:hAnsi="Times New Roman"/>
        </w:rPr>
      </w:pPr>
    </w:p>
    <w:p w14:paraId="2771C407">
      <w:pPr>
        <w:pStyle w:val="15"/>
        <w:jc w:val="center"/>
        <w:rPr>
          <w:rFonts w:ascii="Times New Roman" w:hAnsi="Times New Roman"/>
        </w:rPr>
      </w:pPr>
    </w:p>
    <w:p w14:paraId="527A0C25">
      <w:pPr>
        <w:pStyle w:val="15"/>
        <w:jc w:val="center"/>
        <w:rPr>
          <w:rFonts w:ascii="Times New Roman" w:hAnsi="Times New Roman"/>
        </w:rPr>
      </w:pPr>
    </w:p>
    <w:p w14:paraId="2F30CBD9">
      <w:pPr>
        <w:pStyle w:val="15"/>
        <w:jc w:val="center"/>
        <w:rPr>
          <w:rFonts w:ascii="Times New Roman" w:hAnsi="Times New Roman"/>
        </w:rPr>
      </w:pPr>
    </w:p>
    <w:p w14:paraId="7E090697">
      <w:pPr>
        <w:pStyle w:val="15"/>
        <w:jc w:val="center"/>
        <w:rPr>
          <w:rFonts w:ascii="Times New Roman" w:hAnsi="Times New Roman"/>
        </w:rPr>
      </w:pPr>
    </w:p>
    <w:p w14:paraId="3B4EC8FD">
      <w:pPr>
        <w:pStyle w:val="15"/>
        <w:rPr>
          <w:rFonts w:ascii="Times New Roman" w:hAnsi="Times New Roman"/>
        </w:rPr>
      </w:pPr>
    </w:p>
    <w:p w14:paraId="58816EBF">
      <w:pPr>
        <w:pStyle w:val="15"/>
        <w:jc w:val="center"/>
        <w:rPr>
          <w:rFonts w:ascii="Times New Roman" w:hAnsi="Times New Roman"/>
        </w:rPr>
      </w:pPr>
    </w:p>
    <w:p w14:paraId="7882713F">
      <w:pPr>
        <w:pStyle w:val="15"/>
        <w:jc w:val="center"/>
        <w:rPr>
          <w:rFonts w:ascii="Times New Roman" w:hAnsi="Times New Roman"/>
        </w:rPr>
      </w:pPr>
    </w:p>
    <w:p w14:paraId="3F3F7240">
      <w:pPr>
        <w:pStyle w:val="15"/>
        <w:rPr>
          <w:rFonts w:ascii="Times New Roman" w:hAnsi="Times New Roman"/>
        </w:rPr>
      </w:pPr>
    </w:p>
    <w:p w14:paraId="000EDE8A">
      <w:pPr>
        <w:pStyle w:val="15"/>
        <w:rPr>
          <w:rFonts w:ascii="Times New Roman" w:hAnsi="Times New Roman"/>
        </w:rPr>
      </w:pPr>
    </w:p>
    <w:p w14:paraId="557C0D14">
      <w:pPr>
        <w:pStyle w:val="15"/>
        <w:rPr>
          <w:rFonts w:ascii="Times New Roman" w:hAnsi="Times New Roman"/>
        </w:rPr>
      </w:pPr>
    </w:p>
    <w:p w14:paraId="130E93E8">
      <w:pPr>
        <w:pStyle w:val="15"/>
        <w:rPr>
          <w:rFonts w:ascii="Times New Roman" w:hAnsi="Times New Roman"/>
        </w:rPr>
      </w:pPr>
    </w:p>
    <w:p w14:paraId="314CF204">
      <w:pPr>
        <w:pStyle w:val="15"/>
        <w:jc w:val="center"/>
        <w:rPr>
          <w:rFonts w:hint="eastAsia" w:hAnsi="宋体"/>
          <w:b/>
          <w:bCs/>
          <w:sz w:val="84"/>
          <w:szCs w:val="84"/>
        </w:rPr>
      </w:pPr>
      <w:r>
        <w:rPr>
          <w:rFonts w:hint="eastAsia" w:hAnsi="宋体"/>
          <w:b/>
          <w:bCs/>
          <w:sz w:val="84"/>
          <w:szCs w:val="84"/>
        </w:rPr>
        <w:t>比选文件</w:t>
      </w:r>
    </w:p>
    <w:p w14:paraId="6FED48E9">
      <w:pPr>
        <w:pStyle w:val="15"/>
        <w:jc w:val="center"/>
        <w:rPr>
          <w:rFonts w:ascii="Times New Roman" w:hAnsi="Times New Roman"/>
          <w:sz w:val="32"/>
          <w:szCs w:val="32"/>
        </w:rPr>
      </w:pPr>
    </w:p>
    <w:p w14:paraId="7D12FB17">
      <w:pPr>
        <w:pStyle w:val="15"/>
        <w:jc w:val="center"/>
        <w:rPr>
          <w:rFonts w:ascii="Times New Roman" w:hAnsi="Times New Roman"/>
          <w:sz w:val="32"/>
          <w:szCs w:val="32"/>
        </w:rPr>
      </w:pPr>
    </w:p>
    <w:p w14:paraId="5C37A9A6">
      <w:pPr>
        <w:pStyle w:val="15"/>
        <w:jc w:val="center"/>
        <w:rPr>
          <w:rFonts w:ascii="Times New Roman" w:hAnsi="Times New Roman"/>
          <w:sz w:val="32"/>
          <w:szCs w:val="32"/>
        </w:rPr>
      </w:pPr>
    </w:p>
    <w:p w14:paraId="5E742EBA">
      <w:pPr>
        <w:pStyle w:val="15"/>
        <w:rPr>
          <w:rFonts w:ascii="Times New Roman" w:hAnsi="Times New Roman"/>
          <w:sz w:val="44"/>
          <w:szCs w:val="44"/>
        </w:rPr>
      </w:pPr>
    </w:p>
    <w:p w14:paraId="2A318537">
      <w:pPr>
        <w:pStyle w:val="15"/>
        <w:rPr>
          <w:rFonts w:ascii="Times New Roman" w:hAnsi="Times New Roman"/>
          <w:sz w:val="44"/>
          <w:szCs w:val="44"/>
        </w:rPr>
      </w:pPr>
    </w:p>
    <w:p w14:paraId="48D05B2F">
      <w:pPr>
        <w:pStyle w:val="15"/>
        <w:rPr>
          <w:rFonts w:ascii="Times New Roman" w:hAnsi="Times New Roman"/>
          <w:sz w:val="44"/>
          <w:szCs w:val="44"/>
        </w:rPr>
      </w:pPr>
    </w:p>
    <w:p w14:paraId="7C46E97F">
      <w:pPr>
        <w:pStyle w:val="15"/>
        <w:jc w:val="center"/>
        <w:rPr>
          <w:rFonts w:ascii="Times New Roman" w:hAnsi="Times New Roman"/>
        </w:rPr>
      </w:pPr>
    </w:p>
    <w:p w14:paraId="47789BA8">
      <w:pPr>
        <w:pStyle w:val="15"/>
        <w:rPr>
          <w:rFonts w:ascii="Times New Roman" w:hAnsi="Times New Roman"/>
        </w:rPr>
      </w:pPr>
    </w:p>
    <w:p w14:paraId="78F852DF">
      <w:pPr>
        <w:pStyle w:val="15"/>
        <w:spacing w:line="800" w:lineRule="exact"/>
        <w:jc w:val="center"/>
        <w:rPr>
          <w:rFonts w:hint="eastAsia" w:hAnsi="宋体"/>
          <w:b/>
          <w:bCs/>
          <w:spacing w:val="20"/>
          <w:w w:val="80"/>
          <w:sz w:val="44"/>
          <w:szCs w:val="44"/>
          <w:u w:val="single"/>
        </w:rPr>
      </w:pPr>
      <w:r>
        <w:rPr>
          <w:rFonts w:hint="eastAsia" w:hAnsi="宋体"/>
          <w:b/>
          <w:bCs/>
          <w:w w:val="90"/>
          <w:sz w:val="36"/>
          <w:szCs w:val="36"/>
        </w:rPr>
        <w:t>比选人：</w:t>
      </w:r>
      <w:r>
        <w:rPr>
          <w:rFonts w:hint="eastAsia" w:hAnsi="宋体"/>
          <w:b/>
          <w:bCs/>
          <w:w w:val="90"/>
          <w:sz w:val="36"/>
          <w:szCs w:val="36"/>
          <w:u w:val="single"/>
        </w:rPr>
        <w:t>四川蜀道新能源科技发展有限公司</w:t>
      </w:r>
    </w:p>
    <w:p w14:paraId="699022DB">
      <w:pPr>
        <w:spacing w:line="360" w:lineRule="auto"/>
        <w:ind w:left="195" w:hanging="195" w:hangingChars="60"/>
        <w:jc w:val="center"/>
        <w:rPr>
          <w:rFonts w:hint="eastAsia" w:hAnsi="宋体"/>
          <w:b/>
          <w:bCs/>
          <w:w w:val="90"/>
          <w:sz w:val="36"/>
          <w:szCs w:val="36"/>
        </w:rPr>
      </w:pPr>
    </w:p>
    <w:p w14:paraId="5996107C">
      <w:pPr>
        <w:pStyle w:val="15"/>
        <w:spacing w:line="360" w:lineRule="auto"/>
        <w:jc w:val="center"/>
        <w:rPr>
          <w:rFonts w:hint="eastAsia" w:hAnsi="宋体"/>
          <w:b/>
          <w:bCs/>
          <w:sz w:val="36"/>
          <w:szCs w:val="36"/>
        </w:rPr>
      </w:pPr>
      <w:r>
        <w:rPr>
          <w:rFonts w:hint="eastAsia" w:hAnsi="宋体"/>
          <w:b/>
          <w:bCs/>
          <w:sz w:val="36"/>
          <w:szCs w:val="36"/>
          <w:lang w:eastAsia="zh-CN"/>
        </w:rPr>
        <w:t>2025年</w:t>
      </w:r>
      <w:r>
        <w:rPr>
          <w:rFonts w:hint="eastAsia" w:hAnsi="宋体"/>
          <w:b/>
          <w:bCs/>
          <w:sz w:val="36"/>
          <w:szCs w:val="36"/>
          <w:lang w:val="en-US" w:eastAsia="zh-CN"/>
        </w:rPr>
        <w:t>6</w:t>
      </w:r>
      <w:r>
        <w:rPr>
          <w:rFonts w:hint="eastAsia" w:hAnsi="宋体"/>
          <w:b/>
          <w:bCs/>
          <w:sz w:val="36"/>
          <w:szCs w:val="36"/>
        </w:rPr>
        <w:t>月</w:t>
      </w:r>
    </w:p>
    <w:p w14:paraId="4EA6AEF7">
      <w:pPr>
        <w:pStyle w:val="15"/>
        <w:spacing w:line="440" w:lineRule="exact"/>
        <w:jc w:val="center"/>
        <w:rPr>
          <w:rFonts w:ascii="Times New Roman" w:hAnsi="Times New Roman"/>
        </w:rPr>
        <w:sectPr>
          <w:footerReference r:id="rId6" w:type="first"/>
          <w:footerReference r:id="rId4" w:type="default"/>
          <w:headerReference r:id="rId3" w:type="even"/>
          <w:footerReference r:id="rId5" w:type="even"/>
          <w:pgSz w:w="11906" w:h="16838"/>
          <w:pgMar w:top="1418" w:right="1134" w:bottom="1134" w:left="1474" w:header="851" w:footer="851" w:gutter="0"/>
          <w:cols w:space="720" w:num="1"/>
          <w:titlePg/>
          <w:docGrid w:linePitch="312" w:charSpace="0"/>
        </w:sectPr>
      </w:pPr>
    </w:p>
    <w:p w14:paraId="0FDD8093">
      <w:pPr>
        <w:pStyle w:val="15"/>
        <w:spacing w:line="440" w:lineRule="exact"/>
        <w:jc w:val="center"/>
        <w:rPr>
          <w:rFonts w:ascii="Times New Roman" w:hAnsi="Times New Roman"/>
        </w:rPr>
      </w:pPr>
    </w:p>
    <w:p w14:paraId="3F9A3CAD">
      <w:pPr>
        <w:pStyle w:val="15"/>
        <w:spacing w:line="440" w:lineRule="exact"/>
        <w:jc w:val="center"/>
        <w:rPr>
          <w:rFonts w:hint="eastAsia" w:hAnsi="宋体"/>
          <w:b/>
          <w:bCs/>
          <w:sz w:val="44"/>
          <w:szCs w:val="44"/>
        </w:rPr>
      </w:pPr>
      <w:r>
        <w:rPr>
          <w:rFonts w:hint="eastAsia" w:hAnsi="宋体"/>
          <w:b/>
          <w:bCs/>
          <w:sz w:val="44"/>
          <w:szCs w:val="44"/>
        </w:rPr>
        <w:t>目录</w:t>
      </w:r>
    </w:p>
    <w:p w14:paraId="1B16984F">
      <w:pPr>
        <w:pStyle w:val="15"/>
        <w:tabs>
          <w:tab w:val="left" w:pos="1691"/>
        </w:tabs>
        <w:spacing w:line="440" w:lineRule="exact"/>
        <w:rPr>
          <w:rFonts w:hint="eastAsia" w:hAnsi="宋体"/>
          <w:b/>
          <w:bCs/>
          <w:sz w:val="44"/>
          <w:szCs w:val="44"/>
        </w:rPr>
      </w:pPr>
      <w:r>
        <w:rPr>
          <w:rFonts w:hAnsi="宋体"/>
          <w:b/>
          <w:bCs/>
          <w:sz w:val="44"/>
          <w:szCs w:val="44"/>
        </w:rPr>
        <w:tab/>
      </w:r>
    </w:p>
    <w:p w14:paraId="3F690988">
      <w:pPr>
        <w:pStyle w:val="21"/>
        <w:tabs>
          <w:tab w:val="right" w:leader="dot" w:pos="9298"/>
          <w:tab w:val="clear" w:pos="8777"/>
        </w:tabs>
        <w:spacing w:line="480" w:lineRule="auto"/>
      </w:pPr>
      <w:r>
        <w:rPr>
          <w:rFonts w:ascii="宋体" w:hAnsi="宋体" w:cs="宋体"/>
          <w:b w:val="0"/>
          <w:bCs w:val="0"/>
          <w:sz w:val="24"/>
          <w:szCs w:val="24"/>
        </w:rPr>
        <w:fldChar w:fldCharType="begin"/>
      </w:r>
      <w:r>
        <w:rPr>
          <w:rFonts w:ascii="宋体" w:hAnsi="宋体" w:cs="宋体"/>
          <w:b w:val="0"/>
          <w:bCs w:val="0"/>
          <w:sz w:val="24"/>
          <w:szCs w:val="24"/>
        </w:rPr>
        <w:instrText xml:space="preserve">TOC \h \z \t "</w:instrText>
      </w:r>
      <w:r>
        <w:rPr>
          <w:rFonts w:hint="eastAsia" w:ascii="宋体" w:hAnsi="宋体" w:cs="幼圆"/>
          <w:b w:val="0"/>
          <w:bCs w:val="0"/>
          <w:sz w:val="24"/>
          <w:szCs w:val="24"/>
        </w:rPr>
        <w:instrText xml:space="preserve">标题</w:instrText>
      </w:r>
      <w:r>
        <w:rPr>
          <w:rFonts w:ascii="宋体" w:hAnsi="宋体" w:cs="宋体"/>
          <w:b w:val="0"/>
          <w:bCs w:val="0"/>
          <w:sz w:val="24"/>
          <w:szCs w:val="24"/>
        </w:rPr>
        <w:instrText xml:space="preserve"> 1,2,</w:instrText>
      </w:r>
      <w:r>
        <w:rPr>
          <w:rFonts w:hint="eastAsia" w:ascii="宋体" w:hAnsi="宋体" w:cs="幼圆"/>
          <w:b w:val="0"/>
          <w:bCs w:val="0"/>
          <w:sz w:val="24"/>
          <w:szCs w:val="24"/>
        </w:rPr>
        <w:instrText xml:space="preserve">标题</w:instrText>
      </w:r>
      <w:r>
        <w:rPr>
          <w:rFonts w:ascii="宋体" w:hAnsi="宋体" w:cs="宋体"/>
          <w:b w:val="0"/>
          <w:bCs w:val="0"/>
          <w:sz w:val="24"/>
          <w:szCs w:val="24"/>
        </w:rPr>
        <w:instrText xml:space="preserve">,1"</w:instrText>
      </w:r>
      <w:r>
        <w:rPr>
          <w:rFonts w:ascii="宋体" w:hAnsi="宋体" w:cs="宋体"/>
          <w:b w:val="0"/>
          <w:bCs w:val="0"/>
          <w:sz w:val="24"/>
          <w:szCs w:val="24"/>
        </w:rPr>
        <w:fldChar w:fldCharType="separate"/>
      </w:r>
      <w:r>
        <w:rPr>
          <w:rFonts w:ascii="宋体" w:hAnsi="宋体" w:cs="宋体"/>
          <w:bCs w:val="0"/>
          <w:szCs w:val="24"/>
        </w:rPr>
        <w:fldChar w:fldCharType="begin"/>
      </w:r>
      <w:r>
        <w:rPr>
          <w:rFonts w:ascii="宋体" w:hAnsi="宋体" w:cs="宋体"/>
          <w:bCs w:val="0"/>
          <w:szCs w:val="24"/>
        </w:rPr>
        <w:instrText xml:space="preserve"> HYPERLINK \l _Toc10352 </w:instrText>
      </w:r>
      <w:r>
        <w:rPr>
          <w:rFonts w:ascii="宋体" w:hAnsi="宋体" w:cs="宋体"/>
          <w:bCs w:val="0"/>
          <w:szCs w:val="24"/>
        </w:rPr>
        <w:fldChar w:fldCharType="separate"/>
      </w:r>
      <w:r>
        <w:rPr>
          <w:rFonts w:hint="eastAsia" w:ascii="宋体" w:hAnsi="宋体" w:cs="宋体"/>
          <w:bCs/>
          <w:kern w:val="44"/>
          <w:szCs w:val="48"/>
        </w:rPr>
        <w:t>第一章</w:t>
      </w:r>
      <w:r>
        <w:rPr>
          <w:rFonts w:hint="eastAsia" w:ascii="宋体" w:hAnsi="宋体" w:cs="宋体"/>
          <w:bCs/>
          <w:kern w:val="44"/>
          <w:szCs w:val="48"/>
          <w:lang w:val="en-US" w:eastAsia="zh-CN"/>
        </w:rPr>
        <w:t xml:space="preserve"> </w:t>
      </w:r>
      <w:r>
        <w:rPr>
          <w:rFonts w:hint="eastAsia" w:ascii="宋体" w:hAnsi="宋体" w:cs="宋体"/>
          <w:bCs/>
          <w:kern w:val="44"/>
          <w:szCs w:val="48"/>
        </w:rPr>
        <w:t>比选公告</w:t>
      </w:r>
      <w:r>
        <w:tab/>
      </w:r>
      <w:r>
        <w:fldChar w:fldCharType="begin"/>
      </w:r>
      <w:r>
        <w:instrText xml:space="preserve"> PAGEREF _Toc10352 \h </w:instrText>
      </w:r>
      <w:r>
        <w:fldChar w:fldCharType="separate"/>
      </w:r>
      <w:r>
        <w:t>1</w:t>
      </w:r>
      <w:r>
        <w:fldChar w:fldCharType="end"/>
      </w:r>
      <w:r>
        <w:rPr>
          <w:rFonts w:ascii="宋体" w:hAnsi="宋体" w:cs="宋体"/>
          <w:bCs w:val="0"/>
          <w:szCs w:val="24"/>
        </w:rPr>
        <w:fldChar w:fldCharType="end"/>
      </w:r>
    </w:p>
    <w:p w14:paraId="2BD73E86">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_Toc22342 </w:instrText>
      </w:r>
      <w:r>
        <w:rPr>
          <w:rFonts w:ascii="宋体" w:hAnsi="宋体" w:cs="宋体"/>
          <w:bCs w:val="0"/>
          <w:szCs w:val="24"/>
        </w:rPr>
        <w:fldChar w:fldCharType="separate"/>
      </w:r>
      <w:r>
        <w:rPr>
          <w:rFonts w:hint="eastAsia" w:ascii="宋体" w:hAnsi="宋体"/>
          <w:bCs/>
          <w:kern w:val="44"/>
          <w:szCs w:val="44"/>
        </w:rPr>
        <w:t>第二章</w:t>
      </w:r>
      <w:r>
        <w:rPr>
          <w:rFonts w:hint="eastAsia" w:ascii="宋体" w:hAnsi="宋体"/>
          <w:bCs/>
          <w:kern w:val="44"/>
          <w:szCs w:val="44"/>
          <w:lang w:val="en-US" w:eastAsia="zh-CN"/>
        </w:rPr>
        <w:t xml:space="preserve"> </w:t>
      </w:r>
      <w:r>
        <w:rPr>
          <w:rFonts w:hint="eastAsia" w:ascii="宋体" w:hAnsi="宋体"/>
          <w:bCs/>
          <w:kern w:val="44"/>
          <w:szCs w:val="44"/>
        </w:rPr>
        <w:t>比选申请人须知</w:t>
      </w:r>
      <w:r>
        <w:tab/>
      </w:r>
      <w:r>
        <w:fldChar w:fldCharType="begin"/>
      </w:r>
      <w:r>
        <w:instrText xml:space="preserve"> PAGEREF _Toc22342 \h </w:instrText>
      </w:r>
      <w:r>
        <w:fldChar w:fldCharType="separate"/>
      </w:r>
      <w:r>
        <w:t>5</w:t>
      </w:r>
      <w:r>
        <w:fldChar w:fldCharType="end"/>
      </w:r>
      <w:r>
        <w:rPr>
          <w:rFonts w:ascii="宋体" w:hAnsi="宋体" w:cs="宋体"/>
          <w:bCs w:val="0"/>
          <w:szCs w:val="24"/>
        </w:rPr>
        <w:fldChar w:fldCharType="end"/>
      </w:r>
    </w:p>
    <w:p w14:paraId="26B8B2D7">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_Toc6437 </w:instrText>
      </w:r>
      <w:r>
        <w:rPr>
          <w:rFonts w:ascii="宋体" w:hAnsi="宋体" w:cs="宋体"/>
          <w:bCs w:val="0"/>
          <w:szCs w:val="24"/>
        </w:rPr>
        <w:fldChar w:fldCharType="separate"/>
      </w:r>
      <w:r>
        <w:rPr>
          <w:rFonts w:hint="eastAsia" w:ascii="宋体" w:hAnsi="宋体"/>
          <w:bCs/>
          <w:kern w:val="44"/>
          <w:szCs w:val="48"/>
        </w:rPr>
        <w:t>第三章</w:t>
      </w:r>
      <w:r>
        <w:rPr>
          <w:rFonts w:hint="eastAsia" w:ascii="宋体" w:hAnsi="宋体"/>
          <w:bCs/>
          <w:kern w:val="44"/>
          <w:szCs w:val="48"/>
          <w:lang w:val="en-US" w:eastAsia="zh-CN"/>
        </w:rPr>
        <w:t xml:space="preserve"> </w:t>
      </w:r>
      <w:r>
        <w:rPr>
          <w:rFonts w:hint="eastAsia" w:ascii="宋体" w:hAnsi="宋体"/>
          <w:bCs/>
          <w:kern w:val="44"/>
          <w:szCs w:val="48"/>
        </w:rPr>
        <w:t>评标办法（</w:t>
      </w:r>
      <w:r>
        <w:rPr>
          <w:rFonts w:hint="eastAsia" w:ascii="宋体" w:hAnsi="宋体"/>
          <w:bCs/>
          <w:kern w:val="44"/>
          <w:szCs w:val="48"/>
          <w:lang w:eastAsia="zh-CN"/>
        </w:rPr>
        <w:t>综合评</w:t>
      </w:r>
      <w:r>
        <w:rPr>
          <w:rFonts w:hint="eastAsia" w:ascii="宋体" w:hAnsi="宋体"/>
          <w:bCs/>
          <w:kern w:val="44"/>
          <w:szCs w:val="48"/>
          <w:lang w:val="en-US" w:eastAsia="zh-CN"/>
        </w:rPr>
        <w:t>分</w:t>
      </w:r>
      <w:r>
        <w:rPr>
          <w:rFonts w:hint="eastAsia" w:ascii="宋体" w:hAnsi="宋体"/>
          <w:bCs/>
          <w:kern w:val="44"/>
          <w:szCs w:val="48"/>
          <w:lang w:eastAsia="zh-CN"/>
        </w:rPr>
        <w:t>法</w:t>
      </w:r>
      <w:r>
        <w:rPr>
          <w:rFonts w:hint="eastAsia" w:ascii="宋体" w:hAnsi="宋体"/>
          <w:bCs/>
          <w:kern w:val="44"/>
          <w:szCs w:val="48"/>
        </w:rPr>
        <w:t>）</w:t>
      </w:r>
      <w:r>
        <w:tab/>
      </w:r>
      <w:r>
        <w:fldChar w:fldCharType="begin"/>
      </w:r>
      <w:r>
        <w:instrText xml:space="preserve"> PAGEREF _Toc6437 \h </w:instrText>
      </w:r>
      <w:r>
        <w:fldChar w:fldCharType="separate"/>
      </w:r>
      <w:r>
        <w:t>16</w:t>
      </w:r>
      <w:r>
        <w:fldChar w:fldCharType="end"/>
      </w:r>
      <w:r>
        <w:rPr>
          <w:rFonts w:ascii="宋体" w:hAnsi="宋体" w:cs="宋体"/>
          <w:bCs w:val="0"/>
          <w:szCs w:val="24"/>
        </w:rPr>
        <w:fldChar w:fldCharType="end"/>
      </w:r>
    </w:p>
    <w:p w14:paraId="4597D775">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_Toc19411 </w:instrText>
      </w:r>
      <w:r>
        <w:rPr>
          <w:rFonts w:ascii="宋体" w:hAnsi="宋体" w:cs="宋体"/>
          <w:bCs w:val="0"/>
          <w:szCs w:val="24"/>
        </w:rPr>
        <w:fldChar w:fldCharType="separate"/>
      </w:r>
      <w:r>
        <w:rPr>
          <w:rFonts w:hint="eastAsia" w:ascii="宋体" w:hAnsi="宋体"/>
          <w:bCs/>
          <w:kern w:val="44"/>
          <w:szCs w:val="44"/>
        </w:rPr>
        <w:t>第四章 设备标准和要求</w:t>
      </w:r>
      <w:r>
        <w:tab/>
      </w:r>
      <w:r>
        <w:fldChar w:fldCharType="begin"/>
      </w:r>
      <w:r>
        <w:instrText xml:space="preserve"> PAGEREF _Toc19411 \h </w:instrText>
      </w:r>
      <w:r>
        <w:fldChar w:fldCharType="separate"/>
      </w:r>
      <w:r>
        <w:t>22</w:t>
      </w:r>
      <w:r>
        <w:fldChar w:fldCharType="end"/>
      </w:r>
      <w:r>
        <w:rPr>
          <w:rFonts w:ascii="宋体" w:hAnsi="宋体" w:cs="宋体"/>
          <w:bCs w:val="0"/>
          <w:szCs w:val="24"/>
        </w:rPr>
        <w:fldChar w:fldCharType="end"/>
      </w:r>
    </w:p>
    <w:p w14:paraId="7AC61FAB">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_Toc24730 </w:instrText>
      </w:r>
      <w:r>
        <w:rPr>
          <w:rFonts w:ascii="宋体" w:hAnsi="宋体" w:cs="宋体"/>
          <w:bCs w:val="0"/>
          <w:szCs w:val="24"/>
        </w:rPr>
        <w:fldChar w:fldCharType="separate"/>
      </w:r>
      <w:r>
        <w:rPr>
          <w:rFonts w:hint="eastAsia" w:ascii="宋体" w:hAnsi="宋体"/>
          <w:bCs/>
          <w:kern w:val="44"/>
          <w:szCs w:val="44"/>
        </w:rPr>
        <w:t>第五章 合同条款及格式</w:t>
      </w:r>
      <w:r>
        <w:tab/>
      </w:r>
      <w:r>
        <w:fldChar w:fldCharType="begin"/>
      </w:r>
      <w:r>
        <w:instrText xml:space="preserve"> PAGEREF _Toc24730 \h </w:instrText>
      </w:r>
      <w:r>
        <w:fldChar w:fldCharType="separate"/>
      </w:r>
      <w:r>
        <w:t>25</w:t>
      </w:r>
      <w:r>
        <w:fldChar w:fldCharType="end"/>
      </w:r>
      <w:r>
        <w:rPr>
          <w:rFonts w:ascii="宋体" w:hAnsi="宋体" w:cs="宋体"/>
          <w:bCs w:val="0"/>
          <w:szCs w:val="24"/>
        </w:rPr>
        <w:fldChar w:fldCharType="end"/>
      </w:r>
    </w:p>
    <w:p w14:paraId="4C3BCF07">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_Toc6845 </w:instrText>
      </w:r>
      <w:r>
        <w:rPr>
          <w:rFonts w:ascii="宋体" w:hAnsi="宋体" w:cs="宋体"/>
          <w:bCs w:val="0"/>
          <w:szCs w:val="24"/>
        </w:rPr>
        <w:fldChar w:fldCharType="separate"/>
      </w:r>
      <w:r>
        <w:rPr>
          <w:rFonts w:hint="eastAsia" w:ascii="宋体" w:hAnsi="宋体"/>
          <w:bCs/>
          <w:kern w:val="44"/>
          <w:szCs w:val="44"/>
        </w:rPr>
        <w:t>第六章 费用清单</w:t>
      </w:r>
      <w:r>
        <w:tab/>
      </w:r>
      <w:r>
        <w:fldChar w:fldCharType="begin"/>
      </w:r>
      <w:r>
        <w:instrText xml:space="preserve"> PAGEREF _Toc6845 \h </w:instrText>
      </w:r>
      <w:r>
        <w:fldChar w:fldCharType="separate"/>
      </w:r>
      <w:r>
        <w:t>38</w:t>
      </w:r>
      <w:r>
        <w:fldChar w:fldCharType="end"/>
      </w:r>
      <w:r>
        <w:rPr>
          <w:rFonts w:ascii="宋体" w:hAnsi="宋体" w:cs="宋体"/>
          <w:bCs w:val="0"/>
          <w:szCs w:val="24"/>
        </w:rPr>
        <w:fldChar w:fldCharType="end"/>
      </w:r>
    </w:p>
    <w:p w14:paraId="4F96C72C">
      <w:pPr>
        <w:pStyle w:val="21"/>
        <w:tabs>
          <w:tab w:val="right" w:leader="dot" w:pos="9298"/>
          <w:tab w:val="clear" w:pos="8777"/>
        </w:tabs>
        <w:spacing w:line="480" w:lineRule="auto"/>
      </w:pPr>
      <w:r>
        <w:rPr>
          <w:rFonts w:ascii="宋体" w:hAnsi="宋体" w:cs="宋体"/>
          <w:bCs w:val="0"/>
          <w:szCs w:val="24"/>
        </w:rPr>
        <w:fldChar w:fldCharType="begin"/>
      </w:r>
      <w:r>
        <w:rPr>
          <w:rFonts w:ascii="宋体" w:hAnsi="宋体" w:cs="宋体"/>
          <w:bCs w:val="0"/>
          <w:szCs w:val="24"/>
        </w:rPr>
        <w:instrText xml:space="preserve"> HYPERLINK \l _Toc17951 </w:instrText>
      </w:r>
      <w:r>
        <w:rPr>
          <w:rFonts w:ascii="宋体" w:hAnsi="宋体" w:cs="宋体"/>
          <w:bCs w:val="0"/>
          <w:szCs w:val="24"/>
        </w:rPr>
        <w:fldChar w:fldCharType="separate"/>
      </w:r>
      <w:r>
        <w:rPr>
          <w:rFonts w:hint="eastAsia" w:ascii="宋体" w:hAnsi="宋体"/>
          <w:bCs/>
          <w:kern w:val="44"/>
          <w:szCs w:val="48"/>
        </w:rPr>
        <w:t>第七章  比选申请文件格式</w:t>
      </w:r>
      <w:r>
        <w:tab/>
      </w:r>
      <w:r>
        <w:fldChar w:fldCharType="begin"/>
      </w:r>
      <w:r>
        <w:instrText xml:space="preserve"> PAGEREF _Toc17951 \h </w:instrText>
      </w:r>
      <w:r>
        <w:fldChar w:fldCharType="separate"/>
      </w:r>
      <w:r>
        <w:t>39</w:t>
      </w:r>
      <w:r>
        <w:fldChar w:fldCharType="end"/>
      </w:r>
      <w:r>
        <w:rPr>
          <w:rFonts w:ascii="宋体" w:hAnsi="宋体" w:cs="宋体"/>
          <w:bCs w:val="0"/>
          <w:szCs w:val="24"/>
        </w:rPr>
        <w:fldChar w:fldCharType="end"/>
      </w:r>
    </w:p>
    <w:p w14:paraId="21303F95">
      <w:pPr>
        <w:pStyle w:val="21"/>
        <w:spacing w:line="480" w:lineRule="auto"/>
        <w:ind w:left="0" w:firstLine="200"/>
        <w:jc w:val="both"/>
        <w:rPr>
          <w:rStyle w:val="36"/>
          <w:color w:val="auto"/>
          <w:u w:val="none"/>
        </w:rPr>
      </w:pPr>
      <w:r>
        <w:rPr>
          <w:rFonts w:ascii="宋体" w:hAnsi="宋体" w:cs="宋体"/>
          <w:b w:val="0"/>
          <w:bCs w:val="0"/>
          <w:sz w:val="24"/>
          <w:szCs w:val="24"/>
        </w:rPr>
        <w:fldChar w:fldCharType="end"/>
      </w:r>
    </w:p>
    <w:p w14:paraId="53040760">
      <w:pPr>
        <w:pStyle w:val="15"/>
        <w:spacing w:line="480" w:lineRule="auto"/>
        <w:ind w:left="480"/>
        <w:rPr>
          <w:rFonts w:ascii="Times New Roman" w:hAnsi="Times New Roman"/>
          <w:sz w:val="24"/>
          <w:szCs w:val="24"/>
        </w:rPr>
      </w:pPr>
    </w:p>
    <w:p w14:paraId="5C9BDC51">
      <w:pPr>
        <w:pStyle w:val="15"/>
        <w:spacing w:line="480" w:lineRule="auto"/>
        <w:rPr>
          <w:rFonts w:ascii="Times New Roman" w:hAnsi="Times New Roman"/>
          <w:sz w:val="24"/>
          <w:szCs w:val="24"/>
        </w:rPr>
      </w:pPr>
    </w:p>
    <w:p w14:paraId="62600596">
      <w:pPr>
        <w:pStyle w:val="15"/>
        <w:spacing w:line="440" w:lineRule="exact"/>
        <w:rPr>
          <w:rFonts w:ascii="Times New Roman" w:hAnsi="Times New Roman"/>
          <w:sz w:val="24"/>
          <w:szCs w:val="24"/>
        </w:rPr>
      </w:pPr>
    </w:p>
    <w:p w14:paraId="18C3367E">
      <w:pPr>
        <w:pStyle w:val="15"/>
        <w:spacing w:line="440" w:lineRule="exact"/>
        <w:rPr>
          <w:rFonts w:ascii="Times New Roman" w:hAnsi="Times New Roman"/>
          <w:sz w:val="24"/>
          <w:szCs w:val="24"/>
        </w:rPr>
      </w:pPr>
    </w:p>
    <w:p w14:paraId="140E41F0">
      <w:pPr>
        <w:pStyle w:val="15"/>
        <w:spacing w:line="440" w:lineRule="exact"/>
        <w:rPr>
          <w:rFonts w:ascii="Times New Roman" w:hAnsi="Times New Roman"/>
          <w:sz w:val="24"/>
          <w:szCs w:val="24"/>
        </w:rPr>
      </w:pPr>
    </w:p>
    <w:p w14:paraId="02045694">
      <w:pPr>
        <w:pStyle w:val="15"/>
        <w:spacing w:line="440" w:lineRule="exact"/>
        <w:rPr>
          <w:rFonts w:ascii="Times New Roman" w:hAnsi="Times New Roman"/>
          <w:sz w:val="24"/>
          <w:szCs w:val="24"/>
        </w:rPr>
      </w:pPr>
    </w:p>
    <w:p w14:paraId="7B7A1CB1">
      <w:pPr>
        <w:pStyle w:val="15"/>
        <w:spacing w:line="440" w:lineRule="exact"/>
        <w:rPr>
          <w:rFonts w:ascii="Times New Roman" w:hAnsi="Times New Roman"/>
          <w:sz w:val="24"/>
          <w:szCs w:val="24"/>
        </w:rPr>
      </w:pPr>
    </w:p>
    <w:p w14:paraId="16ABA399">
      <w:pPr>
        <w:pStyle w:val="15"/>
        <w:spacing w:line="440" w:lineRule="exact"/>
        <w:rPr>
          <w:rFonts w:ascii="Times New Roman" w:hAnsi="Times New Roman"/>
          <w:sz w:val="24"/>
          <w:szCs w:val="24"/>
        </w:rPr>
      </w:pPr>
    </w:p>
    <w:p w14:paraId="51AFE159">
      <w:pPr>
        <w:pStyle w:val="15"/>
        <w:spacing w:line="440" w:lineRule="exact"/>
        <w:rPr>
          <w:rFonts w:ascii="Times New Roman" w:hAnsi="Times New Roman"/>
          <w:sz w:val="24"/>
          <w:szCs w:val="24"/>
        </w:rPr>
      </w:pPr>
    </w:p>
    <w:p w14:paraId="6364F915">
      <w:pPr>
        <w:pStyle w:val="15"/>
        <w:spacing w:line="440" w:lineRule="exact"/>
        <w:rPr>
          <w:rFonts w:ascii="Times New Roman" w:hAnsi="Times New Roman"/>
          <w:sz w:val="24"/>
          <w:szCs w:val="24"/>
        </w:rPr>
      </w:pPr>
    </w:p>
    <w:p w14:paraId="33B48E18">
      <w:pPr>
        <w:pStyle w:val="15"/>
        <w:spacing w:line="440" w:lineRule="exact"/>
        <w:rPr>
          <w:rFonts w:ascii="Times New Roman" w:hAnsi="Times New Roman"/>
          <w:sz w:val="24"/>
          <w:szCs w:val="24"/>
        </w:rPr>
      </w:pPr>
    </w:p>
    <w:p w14:paraId="30BC050A">
      <w:pPr>
        <w:pStyle w:val="15"/>
        <w:spacing w:line="440" w:lineRule="exact"/>
        <w:rPr>
          <w:rFonts w:ascii="Times New Roman" w:hAnsi="Times New Roman"/>
          <w:sz w:val="24"/>
          <w:szCs w:val="24"/>
        </w:rPr>
      </w:pPr>
    </w:p>
    <w:p w14:paraId="5AA9FCD9">
      <w:pPr>
        <w:pStyle w:val="15"/>
        <w:spacing w:line="440" w:lineRule="exact"/>
        <w:rPr>
          <w:rFonts w:ascii="Times New Roman" w:hAnsi="Times New Roman"/>
          <w:sz w:val="24"/>
          <w:szCs w:val="24"/>
        </w:rPr>
        <w:sectPr>
          <w:headerReference r:id="rId8" w:type="first"/>
          <w:footerReference r:id="rId10" w:type="first"/>
          <w:headerReference r:id="rId7" w:type="default"/>
          <w:footerReference r:id="rId9" w:type="default"/>
          <w:pgSz w:w="11906" w:h="16838"/>
          <w:pgMar w:top="1418" w:right="1134" w:bottom="1134" w:left="1474" w:header="851" w:footer="851" w:gutter="0"/>
          <w:pgNumType w:start="1"/>
          <w:cols w:space="720" w:num="1"/>
          <w:docGrid w:linePitch="312" w:charSpace="0"/>
        </w:sectPr>
      </w:pPr>
    </w:p>
    <w:p w14:paraId="3C294492">
      <w:pPr>
        <w:pStyle w:val="5"/>
        <w:keepLines/>
        <w:spacing w:line="360" w:lineRule="auto"/>
        <w:jc w:val="center"/>
        <w:rPr>
          <w:rFonts w:ascii="宋体"/>
          <w:b/>
          <w:bCs/>
          <w:kern w:val="44"/>
          <w:sz w:val="48"/>
          <w:szCs w:val="48"/>
          <w:u w:val="none"/>
        </w:rPr>
      </w:pPr>
      <w:bookmarkStart w:id="0" w:name="_Toc30261"/>
      <w:bookmarkStart w:id="1" w:name="_Toc32"/>
      <w:bookmarkStart w:id="2" w:name="_Toc31642"/>
      <w:bookmarkStart w:id="3" w:name="_Toc11930"/>
      <w:bookmarkStart w:id="4" w:name="_Toc10352"/>
      <w:r>
        <w:rPr>
          <w:rFonts w:hint="eastAsia" w:ascii="宋体" w:hAnsi="宋体" w:cs="宋体"/>
          <w:b/>
          <w:bCs/>
          <w:kern w:val="44"/>
          <w:sz w:val="48"/>
          <w:szCs w:val="48"/>
          <w:u w:val="none"/>
        </w:rPr>
        <w:t>第一章</w:t>
      </w:r>
      <w:r>
        <w:rPr>
          <w:rFonts w:hint="eastAsia" w:ascii="宋体" w:hAnsi="宋体" w:cs="宋体"/>
          <w:b/>
          <w:bCs/>
          <w:kern w:val="44"/>
          <w:sz w:val="48"/>
          <w:szCs w:val="48"/>
          <w:u w:val="none"/>
          <w:lang w:val="en-US" w:eastAsia="zh-CN"/>
        </w:rPr>
        <w:t xml:space="preserve"> </w:t>
      </w:r>
      <w:r>
        <w:rPr>
          <w:rFonts w:hint="eastAsia" w:ascii="宋体" w:hAnsi="宋体" w:cs="宋体"/>
          <w:b/>
          <w:bCs/>
          <w:kern w:val="44"/>
          <w:sz w:val="48"/>
          <w:szCs w:val="48"/>
          <w:u w:val="none"/>
        </w:rPr>
        <w:t>比选公告</w:t>
      </w:r>
      <w:bookmarkEnd w:id="0"/>
      <w:bookmarkEnd w:id="1"/>
      <w:bookmarkEnd w:id="2"/>
      <w:bookmarkEnd w:id="3"/>
      <w:bookmarkEnd w:id="4"/>
    </w:p>
    <w:p w14:paraId="1965E99B">
      <w:pPr>
        <w:spacing w:line="360" w:lineRule="auto"/>
        <w:ind w:firstLine="1084" w:firstLineChars="300"/>
        <w:jc w:val="center"/>
        <w:rPr>
          <w:rFonts w:hint="eastAsia" w:ascii="宋体" w:hAnsi="宋体" w:cs="宋体"/>
          <w:b/>
          <w:bCs/>
          <w:kern w:val="2"/>
          <w:sz w:val="36"/>
          <w:szCs w:val="36"/>
          <w:u w:val="none"/>
          <w:lang w:eastAsia="zh-CN"/>
        </w:rPr>
      </w:pPr>
      <w:r>
        <w:rPr>
          <w:rFonts w:hint="eastAsia" w:ascii="宋体" w:hAnsi="宋体" w:cs="宋体"/>
          <w:b/>
          <w:bCs/>
          <w:kern w:val="2"/>
          <w:sz w:val="36"/>
          <w:szCs w:val="36"/>
          <w:u w:val="none"/>
          <w:lang w:eastAsia="zh-CN"/>
        </w:rPr>
        <w:t>绵九高速柴门关服务区充电站新建项目</w:t>
      </w:r>
    </w:p>
    <w:p w14:paraId="03AFE405">
      <w:pPr>
        <w:spacing w:line="360" w:lineRule="auto"/>
        <w:ind w:firstLine="1084" w:firstLineChars="300"/>
        <w:jc w:val="center"/>
        <w:rPr>
          <w:rFonts w:hint="eastAsia" w:ascii="宋体" w:hAnsi="宋体" w:cs="宋体"/>
          <w:b/>
          <w:bCs/>
          <w:sz w:val="36"/>
          <w:szCs w:val="36"/>
        </w:rPr>
      </w:pPr>
      <w:r>
        <w:rPr>
          <w:rFonts w:hint="eastAsia" w:ascii="宋体" w:hAnsi="宋体" w:cs="宋体"/>
          <w:b/>
          <w:bCs/>
          <w:kern w:val="2"/>
          <w:sz w:val="36"/>
          <w:szCs w:val="36"/>
          <w:u w:val="none"/>
          <w:lang w:eastAsia="zh-CN"/>
        </w:rPr>
        <w:t>充电设备采购</w:t>
      </w:r>
      <w:r>
        <w:rPr>
          <w:rFonts w:hint="eastAsia" w:ascii="宋体" w:hAnsi="宋体" w:cs="宋体"/>
          <w:b/>
          <w:bCs/>
          <w:sz w:val="36"/>
          <w:szCs w:val="36"/>
        </w:rPr>
        <w:t>比选公告</w:t>
      </w:r>
    </w:p>
    <w:p w14:paraId="7DAA2466">
      <w:pPr>
        <w:spacing w:line="360" w:lineRule="exact"/>
        <w:ind w:firstLine="1084" w:firstLineChars="300"/>
        <w:jc w:val="left"/>
        <w:rPr>
          <w:rFonts w:hint="eastAsia" w:ascii="宋体" w:hAnsi="宋体" w:cs="宋体"/>
          <w:b/>
          <w:bCs/>
          <w:sz w:val="36"/>
          <w:szCs w:val="36"/>
        </w:rPr>
      </w:pPr>
    </w:p>
    <w:p w14:paraId="1B5705E3">
      <w:pPr>
        <w:spacing w:line="360" w:lineRule="exact"/>
        <w:ind w:firstLine="3253" w:firstLineChars="900"/>
        <w:jc w:val="left"/>
        <w:rPr>
          <w:rFonts w:hint="eastAsia" w:ascii="宋体" w:hAnsi="宋体" w:cs="宋体"/>
          <w:b/>
          <w:bCs/>
          <w:sz w:val="36"/>
          <w:szCs w:val="36"/>
        </w:rPr>
      </w:pPr>
    </w:p>
    <w:p w14:paraId="210EC1E7">
      <w:pPr>
        <w:pStyle w:val="15"/>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一、比选条件</w:t>
      </w:r>
    </w:p>
    <w:p w14:paraId="4E317EF4">
      <w:pPr>
        <w:widowControl/>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本项目</w:t>
      </w:r>
      <w:r>
        <w:rPr>
          <w:rFonts w:hint="eastAsia"/>
          <w:kern w:val="0"/>
          <w:szCs w:val="21"/>
          <w:u w:val="single"/>
          <w:lang w:eastAsia="zh-CN"/>
        </w:rPr>
        <w:t>绵九高速柴门关服务区充电站新建项目充电设备采购</w:t>
      </w:r>
      <w:r>
        <w:rPr>
          <w:rFonts w:hint="eastAsia"/>
          <w:kern w:val="0"/>
          <w:szCs w:val="21"/>
        </w:rPr>
        <w:t>已由</w:t>
      </w:r>
      <w:r>
        <w:rPr>
          <w:rFonts w:hint="eastAsia"/>
          <w:kern w:val="0"/>
          <w:szCs w:val="21"/>
          <w:u w:val="single"/>
          <w:lang w:val="en-US" w:eastAsia="zh-CN"/>
        </w:rPr>
        <w:t>四川蜀道新能源科技发展有限公司</w:t>
      </w:r>
      <w:r>
        <w:rPr>
          <w:rFonts w:hint="eastAsia"/>
          <w:kern w:val="0"/>
          <w:szCs w:val="21"/>
          <w:u w:val="none"/>
        </w:rPr>
        <w:t>批准实施</w:t>
      </w:r>
      <w:r>
        <w:rPr>
          <w:rFonts w:hint="eastAsia"/>
          <w:kern w:val="0"/>
          <w:szCs w:val="21"/>
        </w:rPr>
        <w:t>，资金来自</w:t>
      </w:r>
      <w:r>
        <w:rPr>
          <w:rFonts w:hint="eastAsia"/>
          <w:kern w:val="0"/>
          <w:szCs w:val="21"/>
          <w:u w:val="single"/>
        </w:rPr>
        <w:t>企业自筹</w:t>
      </w:r>
      <w:r>
        <w:rPr>
          <w:rFonts w:hint="eastAsia"/>
          <w:kern w:val="0"/>
          <w:szCs w:val="21"/>
        </w:rPr>
        <w:t>，出资比例为</w:t>
      </w:r>
      <w:r>
        <w:rPr>
          <w:rFonts w:hint="eastAsia"/>
          <w:kern w:val="0"/>
          <w:szCs w:val="21"/>
          <w:u w:val="single"/>
        </w:rPr>
        <w:t>100%</w:t>
      </w:r>
      <w:r>
        <w:rPr>
          <w:rFonts w:hint="eastAsia"/>
          <w:kern w:val="0"/>
          <w:szCs w:val="21"/>
        </w:rPr>
        <w:t>，比选人为</w:t>
      </w:r>
      <w:r>
        <w:rPr>
          <w:rFonts w:hint="eastAsia"/>
          <w:kern w:val="0"/>
          <w:szCs w:val="21"/>
          <w:u w:val="single"/>
        </w:rPr>
        <w:t>四川蜀道新能源科技发展有限公司</w:t>
      </w:r>
      <w:r>
        <w:rPr>
          <w:rFonts w:hint="eastAsia"/>
          <w:kern w:val="0"/>
          <w:szCs w:val="21"/>
        </w:rPr>
        <w:t>。现已具备比选条件，对</w:t>
      </w:r>
      <w:r>
        <w:rPr>
          <w:rFonts w:hint="eastAsia"/>
          <w:kern w:val="0"/>
          <w:szCs w:val="21"/>
          <w:u w:val="single"/>
          <w:lang w:eastAsia="zh-CN"/>
        </w:rPr>
        <w:t>绵九高速柴门关服务区充电站新建项目充电设备采购</w:t>
      </w:r>
      <w:r>
        <w:rPr>
          <w:rFonts w:hint="eastAsia"/>
          <w:kern w:val="0"/>
          <w:szCs w:val="21"/>
        </w:rPr>
        <w:t>进行比选</w:t>
      </w:r>
      <w:r>
        <w:rPr>
          <w:rFonts w:hint="eastAsia"/>
          <w:kern w:val="0"/>
          <w:szCs w:val="21"/>
          <w:lang w:val="en-US" w:eastAsia="zh-CN"/>
        </w:rPr>
        <w:t>招标</w:t>
      </w:r>
      <w:r>
        <w:rPr>
          <w:rFonts w:hint="eastAsia"/>
          <w:kern w:val="0"/>
          <w:szCs w:val="21"/>
        </w:rPr>
        <w:t>，诚邀符合条件的潜在比选申请人参与。</w:t>
      </w:r>
    </w:p>
    <w:p w14:paraId="5BE02DC8">
      <w:pPr>
        <w:pStyle w:val="15"/>
        <w:snapToGrid w:val="0"/>
        <w:spacing w:line="360" w:lineRule="auto"/>
        <w:ind w:firstLine="482" w:firstLineChars="200"/>
        <w:outlineLvl w:val="1"/>
        <w:rPr>
          <w:rFonts w:hint="eastAsia" w:ascii="黑体" w:hAnsi="宋体" w:eastAsia="黑体"/>
          <w:b/>
          <w:bCs/>
          <w:kern w:val="0"/>
          <w:sz w:val="24"/>
          <w:szCs w:val="24"/>
        </w:rPr>
      </w:pPr>
      <w:r>
        <w:rPr>
          <w:rFonts w:hint="eastAsia" w:ascii="黑体" w:hAnsi="宋体" w:eastAsia="黑体" w:cs="黑体"/>
          <w:b/>
          <w:bCs/>
          <w:kern w:val="0"/>
          <w:sz w:val="24"/>
          <w:szCs w:val="24"/>
        </w:rPr>
        <w:t>二、项目概况与比选范围</w:t>
      </w:r>
    </w:p>
    <w:p w14:paraId="42493503">
      <w:pPr>
        <w:tabs>
          <w:tab w:val="left" w:pos="5220"/>
          <w:tab w:val="left" w:pos="5400"/>
          <w:tab w:val="left" w:pos="5580"/>
        </w:tabs>
        <w:autoSpaceDE w:val="0"/>
        <w:autoSpaceDN w:val="0"/>
        <w:spacing w:line="360" w:lineRule="auto"/>
        <w:ind w:firstLine="420" w:firstLineChars="200"/>
        <w:rPr>
          <w:rFonts w:hint="eastAsia" w:eastAsia="宋体"/>
          <w:kern w:val="0"/>
          <w:szCs w:val="21"/>
          <w:lang w:eastAsia="zh-CN"/>
        </w:rPr>
      </w:pPr>
      <w:r>
        <w:rPr>
          <w:rFonts w:hint="eastAsia"/>
          <w:kern w:val="0"/>
          <w:szCs w:val="21"/>
        </w:rPr>
        <w:t>1.项目名称：</w:t>
      </w:r>
      <w:r>
        <w:rPr>
          <w:rFonts w:hint="eastAsia"/>
          <w:kern w:val="0"/>
          <w:szCs w:val="21"/>
          <w:lang w:eastAsia="zh-CN"/>
        </w:rPr>
        <w:t>绵九高速柴门关服务区充电站新建项目充电设备采购</w:t>
      </w:r>
    </w:p>
    <w:p w14:paraId="0D838863">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2.比选范围：</w:t>
      </w:r>
      <w:r>
        <w:rPr>
          <w:rFonts w:hint="eastAsia"/>
          <w:color w:val="000000"/>
          <w:kern w:val="0"/>
          <w:szCs w:val="21"/>
          <w:highlight w:val="none"/>
        </w:rPr>
        <w:t>拟采购</w:t>
      </w:r>
      <w:r>
        <w:rPr>
          <w:rFonts w:hint="eastAsia"/>
          <w:color w:val="000000"/>
          <w:kern w:val="0"/>
          <w:szCs w:val="21"/>
          <w:highlight w:val="none"/>
          <w:lang w:val="en-US" w:eastAsia="zh-CN"/>
        </w:rPr>
        <w:t>2套</w:t>
      </w:r>
      <w:r>
        <w:rPr>
          <w:rFonts w:hint="eastAsia"/>
          <w:color w:val="000000"/>
          <w:kern w:val="0"/>
          <w:szCs w:val="21"/>
          <w:highlight w:val="none"/>
        </w:rPr>
        <w:t>4</w:t>
      </w:r>
      <w:r>
        <w:rPr>
          <w:rFonts w:hint="eastAsia"/>
          <w:kern w:val="0"/>
          <w:szCs w:val="21"/>
        </w:rPr>
        <w:t>80KW分体式直流充电堆设备（充电模块功率不低于</w:t>
      </w:r>
      <w:r>
        <w:rPr>
          <w:rFonts w:hint="eastAsia"/>
          <w:kern w:val="0"/>
          <w:szCs w:val="21"/>
          <w:highlight w:val="none"/>
          <w:lang w:eastAsia="zh-CN"/>
        </w:rPr>
        <w:t>2</w:t>
      </w:r>
      <w:r>
        <w:rPr>
          <w:rFonts w:hint="eastAsia"/>
          <w:kern w:val="0"/>
          <w:szCs w:val="21"/>
          <w:highlight w:val="none"/>
          <w:lang w:val="en-US" w:eastAsia="zh-CN"/>
        </w:rPr>
        <w:t>0</w:t>
      </w:r>
      <w:r>
        <w:rPr>
          <w:rFonts w:hint="eastAsia"/>
          <w:kern w:val="0"/>
          <w:szCs w:val="21"/>
        </w:rPr>
        <w:t>KW），每</w:t>
      </w:r>
      <w:r>
        <w:rPr>
          <w:rFonts w:hint="eastAsia"/>
          <w:kern w:val="0"/>
          <w:szCs w:val="21"/>
          <w:lang w:val="en-US" w:eastAsia="zh-CN"/>
        </w:rPr>
        <w:t>套</w:t>
      </w:r>
      <w:r>
        <w:rPr>
          <w:rFonts w:hint="eastAsia"/>
          <w:kern w:val="0"/>
          <w:szCs w:val="21"/>
        </w:rPr>
        <w:t>充电堆包含</w:t>
      </w:r>
      <w:r>
        <w:rPr>
          <w:rFonts w:hint="eastAsia" w:ascii="Times New Roman" w:hAnsi="Times New Roman" w:eastAsia="宋体" w:cs="Times New Roman"/>
          <w:kern w:val="0"/>
          <w:sz w:val="21"/>
          <w:szCs w:val="21"/>
          <w:highlight w:val="none"/>
          <w:lang w:eastAsia="zh-CN"/>
        </w:rPr>
        <w:t>4</w:t>
      </w:r>
      <w:r>
        <w:rPr>
          <w:rFonts w:hint="eastAsia" w:ascii="Times New Roman" w:hAnsi="Times New Roman" w:eastAsia="宋体" w:cs="Times New Roman"/>
          <w:kern w:val="0"/>
          <w:sz w:val="21"/>
          <w:szCs w:val="21"/>
          <w:highlight w:val="none"/>
          <w:lang w:val="en-US" w:eastAsia="zh-CN"/>
        </w:rPr>
        <w:t>台</w:t>
      </w:r>
      <w:r>
        <w:rPr>
          <w:rFonts w:hint="eastAsia"/>
          <w:kern w:val="0"/>
          <w:sz w:val="21"/>
          <w:szCs w:val="21"/>
        </w:rPr>
        <w:t>普通充电</w:t>
      </w:r>
      <w:r>
        <w:rPr>
          <w:rFonts w:hint="eastAsia" w:ascii="Times New Roman" w:hAnsi="Times New Roman" w:eastAsia="宋体" w:cs="Times New Roman"/>
          <w:kern w:val="0"/>
          <w:sz w:val="21"/>
          <w:szCs w:val="21"/>
          <w:highlight w:val="none"/>
          <w:lang w:val="en-US" w:eastAsia="zh-CN"/>
        </w:rPr>
        <w:t>桩</w:t>
      </w:r>
      <w:r>
        <w:rPr>
          <w:rFonts w:hint="eastAsia"/>
          <w:kern w:val="0"/>
          <w:sz w:val="21"/>
          <w:szCs w:val="21"/>
        </w:rPr>
        <w:t>（单桩双枪）</w:t>
      </w:r>
      <w:r>
        <w:rPr>
          <w:rFonts w:hint="eastAsia"/>
          <w:kern w:val="0"/>
          <w:szCs w:val="21"/>
        </w:rPr>
        <w:t>。具体内容包括但不限于：</w:t>
      </w:r>
    </w:p>
    <w:p w14:paraId="0A13FEB5">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（1）新采购充电堆设备（包含所需全部备品配件）；</w:t>
      </w:r>
    </w:p>
    <w:p w14:paraId="3C1F16D5">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（2）全部充电设备接入比选人指定充电运营监控管理平台；</w:t>
      </w:r>
    </w:p>
    <w:p w14:paraId="0FBBC23F">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（3）充电设备（包含全部备品配件）运输及现场吊装卸车、临时保管；</w:t>
      </w:r>
    </w:p>
    <w:p w14:paraId="3117AEB3">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（4）充电设备调试服务；</w:t>
      </w:r>
    </w:p>
    <w:p w14:paraId="7495CB43">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（5）充电设备提供至少5年的质保（包括但不限于桩体、模块、易损件如枪头、枪线、显示屏等）及免费上门维护服务；</w:t>
      </w:r>
    </w:p>
    <w:p w14:paraId="31A3B90F">
      <w:pPr>
        <w:tabs>
          <w:tab w:val="left" w:pos="5220"/>
          <w:tab w:val="left" w:pos="5400"/>
          <w:tab w:val="left" w:pos="5580"/>
        </w:tabs>
        <w:autoSpaceDE w:val="0"/>
        <w:autoSpaceDN w:val="0"/>
        <w:spacing w:line="360" w:lineRule="auto"/>
        <w:ind w:firstLine="420" w:firstLineChars="200"/>
        <w:rPr>
          <w:rFonts w:hint="eastAsia"/>
          <w:kern w:val="0"/>
          <w:szCs w:val="21"/>
        </w:rPr>
      </w:pPr>
      <w:r>
        <w:rPr>
          <w:rFonts w:hint="eastAsia"/>
          <w:kern w:val="0"/>
          <w:szCs w:val="21"/>
        </w:rPr>
        <w:t>（6）充电设备按照国家相关法律法规完成2次充电设备计量检定，并取得检定合格证书，第1次检定时间为充电站投运前，第2次检定时间为第1次检定合格证书有效期届满前30天内。</w:t>
      </w:r>
    </w:p>
    <w:p w14:paraId="71744E2A">
      <w:pPr>
        <w:tabs>
          <w:tab w:val="left" w:pos="5220"/>
          <w:tab w:val="left" w:pos="5400"/>
          <w:tab w:val="left" w:pos="5580"/>
        </w:tabs>
        <w:autoSpaceDE w:val="0"/>
        <w:autoSpaceDN w:val="0"/>
        <w:spacing w:line="360" w:lineRule="auto"/>
        <w:ind w:firstLine="420" w:firstLineChars="200"/>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7</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充电桩通信模块支持移动、联通、电信三大运营商网络，设备可根据环境信号强弱智能选择最优运营商网络，确保网络信号稳定性；</w:t>
      </w:r>
    </w:p>
    <w:p w14:paraId="7A22CF92">
      <w:pPr>
        <w:tabs>
          <w:tab w:val="left" w:pos="5220"/>
          <w:tab w:val="left" w:pos="5400"/>
          <w:tab w:val="left" w:pos="5580"/>
        </w:tabs>
        <w:autoSpaceDE w:val="0"/>
        <w:autoSpaceDN w:val="0"/>
        <w:spacing w:line="360" w:lineRule="auto"/>
        <w:ind w:firstLine="420" w:firstLineChars="200"/>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8</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充电桩支持多种联网方式（4G、以太网等），可通过智能备份机制确保网络不间断，当有线网络断开时，设备可自动切换到4G，有线网络恢复时，设备可自动切换到有限网络连接。</w:t>
      </w:r>
    </w:p>
    <w:p w14:paraId="38093D5A">
      <w:pPr>
        <w:tabs>
          <w:tab w:val="left" w:pos="5220"/>
          <w:tab w:val="left" w:pos="5400"/>
          <w:tab w:val="left" w:pos="5580"/>
        </w:tabs>
        <w:autoSpaceDE w:val="0"/>
        <w:autoSpaceDN w:val="0"/>
        <w:spacing w:line="360" w:lineRule="auto"/>
        <w:ind w:firstLine="420" w:firstLineChars="200"/>
        <w:rPr>
          <w:kern w:val="0"/>
          <w:szCs w:val="21"/>
        </w:rPr>
      </w:pP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9）</w:t>
      </w:r>
      <w:r>
        <w:rPr>
          <w:rFonts w:hint="eastAsia" w:cs="Times New Roman"/>
          <w:kern w:val="0"/>
          <w:sz w:val="21"/>
          <w:szCs w:val="21"/>
          <w:lang w:val="en-US" w:eastAsia="zh-CN"/>
        </w:rPr>
        <w:t>充电设备</w:t>
      </w:r>
      <w:r>
        <w:rPr>
          <w:rFonts w:hint="default" w:ascii="Times New Roman" w:hAnsi="Times New Roman" w:eastAsia="宋体" w:cs="Times New Roman"/>
          <w:kern w:val="0"/>
          <w:sz w:val="21"/>
          <w:szCs w:val="21"/>
          <w:lang w:val="en-US" w:eastAsia="zh-CN"/>
        </w:rPr>
        <w:t>须接入比选人运营、监控管理平台，所产生的设备平台接入调试费用（若有）均包括在设备单价和总价中，设备平台接入调试费用发生时由</w:t>
      </w:r>
      <w:r>
        <w:rPr>
          <w:rFonts w:hint="eastAsia" w:cs="Times New Roman"/>
          <w:kern w:val="0"/>
          <w:sz w:val="21"/>
          <w:szCs w:val="21"/>
          <w:lang w:val="en-US" w:eastAsia="zh-CN"/>
        </w:rPr>
        <w:t>比选申请人</w:t>
      </w:r>
      <w:r>
        <w:rPr>
          <w:rFonts w:hint="default" w:ascii="Times New Roman" w:hAnsi="Times New Roman" w:eastAsia="宋体" w:cs="Times New Roman"/>
          <w:kern w:val="0"/>
          <w:sz w:val="21"/>
          <w:szCs w:val="21"/>
          <w:lang w:val="en-US" w:eastAsia="zh-CN"/>
        </w:rPr>
        <w:t>直接向第三方支付。</w:t>
      </w:r>
    </w:p>
    <w:p w14:paraId="70FF47B1">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三</w:t>
      </w:r>
      <w:r>
        <w:rPr>
          <w:rFonts w:ascii="黑体" w:hAnsi="宋体" w:eastAsia="黑体" w:cs="黑体"/>
          <w:b/>
          <w:bCs/>
          <w:kern w:val="0"/>
          <w:sz w:val="24"/>
        </w:rPr>
        <w:t>、比选申请人资格要求</w:t>
      </w:r>
    </w:p>
    <w:p w14:paraId="0C6E49F0">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1.资质要求：须在中华人民共和国境内登记注册，具有独立法人资格，持有有效的营业执照、基本存款账户信息或开户许可证。</w:t>
      </w:r>
    </w:p>
    <w:p w14:paraId="7E1740BE">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2.设备要求：</w:t>
      </w:r>
    </w:p>
    <w:p w14:paraId="5D1BC0F1">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（1）所提供的充电设备产品应符合本比选公告第四条“设备要求”及本比选文件第四章设备标准和要求。（须提供承诺函）</w:t>
      </w:r>
    </w:p>
    <w:p w14:paraId="0CC5CA93">
      <w:pPr>
        <w:tabs>
          <w:tab w:val="left" w:pos="5220"/>
          <w:tab w:val="left" w:pos="5400"/>
          <w:tab w:val="left" w:pos="5580"/>
        </w:tabs>
        <w:autoSpaceDE w:val="0"/>
        <w:autoSpaceDN w:val="0"/>
        <w:spacing w:line="360" w:lineRule="auto"/>
        <w:ind w:firstLine="420" w:firstLineChars="200"/>
        <w:rPr>
          <w:kern w:val="0"/>
          <w:szCs w:val="21"/>
          <w:highlight w:val="none"/>
        </w:rPr>
      </w:pPr>
      <w:r>
        <w:rPr>
          <w:rFonts w:hint="eastAsia"/>
          <w:kern w:val="0"/>
          <w:szCs w:val="21"/>
          <w:highlight w:val="none"/>
        </w:rPr>
        <w:t>（2）充电设备质保期大于等于60个月，如供货的原品牌生产商质保期高于60个月的，按原品牌生产商承诺的质保期执行。</w:t>
      </w:r>
    </w:p>
    <w:p w14:paraId="1AF927E5">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（3）充电堆设备外观符合比选人要求（外观喷绘要求详见第四章）。</w:t>
      </w:r>
    </w:p>
    <w:p w14:paraId="637C4266">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3.信誉要求：</w:t>
      </w:r>
    </w:p>
    <w:p w14:paraId="310C2476">
      <w:pPr>
        <w:widowControl/>
        <w:spacing w:line="360" w:lineRule="auto"/>
        <w:ind w:firstLine="420" w:firstLineChars="200"/>
        <w:jc w:val="left"/>
        <w:rPr>
          <w:szCs w:val="21"/>
          <w:lang w:bidi="ar"/>
        </w:rPr>
      </w:pPr>
      <w:r>
        <w:rPr>
          <w:szCs w:val="21"/>
          <w:lang w:bidi="ar"/>
        </w:rPr>
        <w:t>（1）在“信用中国”网站（www.creditchina.gov.cn）中被列入失信被执行人名单的</w:t>
      </w:r>
      <w:r>
        <w:rPr>
          <w:rFonts w:hint="eastAsia"/>
          <w:szCs w:val="21"/>
          <w:lang w:bidi="ar"/>
        </w:rPr>
        <w:t>比选申请人</w:t>
      </w:r>
      <w:r>
        <w:rPr>
          <w:szCs w:val="21"/>
          <w:lang w:bidi="ar"/>
        </w:rPr>
        <w:t>，其</w:t>
      </w:r>
      <w:r>
        <w:rPr>
          <w:rFonts w:hint="eastAsia"/>
          <w:szCs w:val="21"/>
          <w:lang w:bidi="ar"/>
        </w:rPr>
        <w:t>比选申请文件</w:t>
      </w:r>
      <w:r>
        <w:rPr>
          <w:szCs w:val="21"/>
          <w:lang w:bidi="ar"/>
        </w:rPr>
        <w:t>无效。</w:t>
      </w:r>
      <w:r>
        <w:rPr>
          <w:rFonts w:hint="eastAsia"/>
          <w:szCs w:val="21"/>
          <w:lang w:bidi="ar"/>
        </w:rPr>
        <w:t>（提供网站查询结果截图证明）</w:t>
      </w:r>
    </w:p>
    <w:p w14:paraId="39DFA1CD">
      <w:pPr>
        <w:widowControl/>
        <w:spacing w:line="360" w:lineRule="auto"/>
        <w:ind w:firstLine="420" w:firstLineChars="200"/>
        <w:jc w:val="left"/>
        <w:rPr>
          <w:szCs w:val="21"/>
          <w:lang w:bidi="ar"/>
        </w:rPr>
      </w:pPr>
      <w:r>
        <w:rPr>
          <w:szCs w:val="21"/>
          <w:lang w:bidi="ar"/>
        </w:rPr>
        <w:t>（2）在国家企业信用信息公示系统（www.gsxt.gov.cn）中被列入严重违法失信名单</w:t>
      </w:r>
      <w:r>
        <w:rPr>
          <w:rFonts w:hint="eastAsia"/>
          <w:szCs w:val="21"/>
          <w:lang w:bidi="ar"/>
        </w:rPr>
        <w:t>（黑名单）</w:t>
      </w:r>
      <w:r>
        <w:rPr>
          <w:szCs w:val="21"/>
          <w:lang w:bidi="ar"/>
        </w:rPr>
        <w:t>的</w:t>
      </w:r>
      <w:r>
        <w:rPr>
          <w:rFonts w:hint="eastAsia"/>
          <w:szCs w:val="21"/>
          <w:lang w:bidi="ar"/>
        </w:rPr>
        <w:t>比选申请人</w:t>
      </w:r>
      <w:r>
        <w:rPr>
          <w:szCs w:val="21"/>
          <w:lang w:bidi="ar"/>
        </w:rPr>
        <w:t>，其</w:t>
      </w:r>
      <w:r>
        <w:rPr>
          <w:rFonts w:hint="eastAsia"/>
          <w:szCs w:val="21"/>
          <w:lang w:bidi="ar"/>
        </w:rPr>
        <w:t>比选申请文件</w:t>
      </w:r>
      <w:r>
        <w:rPr>
          <w:szCs w:val="21"/>
          <w:lang w:bidi="ar"/>
        </w:rPr>
        <w:t>无效。</w:t>
      </w:r>
      <w:r>
        <w:rPr>
          <w:rFonts w:hint="eastAsia"/>
          <w:szCs w:val="21"/>
          <w:lang w:bidi="ar"/>
        </w:rPr>
        <w:t>（提供网站查询结果截图证明）</w:t>
      </w:r>
    </w:p>
    <w:p w14:paraId="534F14A1">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（3）近3年内（202</w:t>
      </w:r>
      <w:r>
        <w:rPr>
          <w:rFonts w:hint="eastAsia"/>
          <w:kern w:val="0"/>
          <w:szCs w:val="21"/>
          <w:lang w:val="en-US" w:eastAsia="zh-CN"/>
        </w:rPr>
        <w:t>2</w:t>
      </w:r>
      <w:r>
        <w:rPr>
          <w:rFonts w:hint="eastAsia"/>
          <w:kern w:val="0"/>
          <w:szCs w:val="21"/>
        </w:rPr>
        <w:t>年1月1日至</w:t>
      </w:r>
      <w:r>
        <w:rPr>
          <w:rFonts w:hint="eastAsia"/>
          <w:szCs w:val="21"/>
        </w:rPr>
        <w:t>比选申请文件递交截止之日</w:t>
      </w:r>
      <w:r>
        <w:rPr>
          <w:rFonts w:hint="eastAsia"/>
          <w:kern w:val="0"/>
          <w:szCs w:val="21"/>
        </w:rPr>
        <w:t>）内无不良行为记录，未处于财产被接管、冻结、破产状态，未处于四川省行政区域内有关行政处罚期间。（须提供承诺函）</w:t>
      </w:r>
    </w:p>
    <w:p w14:paraId="1BD7588E">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4.业绩要求：近3年内（202</w:t>
      </w:r>
      <w:r>
        <w:rPr>
          <w:rFonts w:hint="eastAsia"/>
          <w:kern w:val="0"/>
          <w:szCs w:val="21"/>
          <w:lang w:val="en-US" w:eastAsia="zh-CN"/>
        </w:rPr>
        <w:t>2</w:t>
      </w:r>
      <w:r>
        <w:rPr>
          <w:rFonts w:hint="eastAsia"/>
          <w:kern w:val="0"/>
          <w:szCs w:val="21"/>
        </w:rPr>
        <w:t>年1月1日起至</w:t>
      </w:r>
      <w:r>
        <w:rPr>
          <w:rFonts w:hint="eastAsia"/>
          <w:kern w:val="0"/>
          <w:szCs w:val="21"/>
          <w:lang w:val="en-US" w:eastAsia="zh-CN"/>
        </w:rPr>
        <w:t>今，</w:t>
      </w:r>
      <w:r>
        <w:rPr>
          <w:rFonts w:hint="eastAsia" w:eastAsia="宋体"/>
          <w:kern w:val="0"/>
          <w:sz w:val="21"/>
          <w:szCs w:val="21"/>
          <w:lang w:val="en-US" w:eastAsia="zh-CN"/>
        </w:rPr>
        <w:t>以合同签订时间为准</w:t>
      </w:r>
      <w:r>
        <w:rPr>
          <w:rFonts w:hint="eastAsia"/>
          <w:kern w:val="0"/>
          <w:szCs w:val="21"/>
        </w:rPr>
        <w:t>）具有1个及以上类似业绩，类似业绩是指合同总金额不低于</w:t>
      </w:r>
      <w:r>
        <w:rPr>
          <w:rFonts w:hint="eastAsia"/>
          <w:kern w:val="0"/>
          <w:szCs w:val="21"/>
          <w:lang w:val="en-US" w:eastAsia="zh-CN"/>
        </w:rPr>
        <w:t>30</w:t>
      </w:r>
      <w:r>
        <w:rPr>
          <w:rFonts w:hint="eastAsia"/>
          <w:kern w:val="0"/>
          <w:szCs w:val="21"/>
        </w:rPr>
        <w:t>万元的充电设备销售业绩（须附合同协议书证明，合同协议书能清楚反映业绩的采购内容、合同总金额、签订时间等）。</w:t>
      </w:r>
    </w:p>
    <w:p w14:paraId="03C94690">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5.其它要求：比选申请人在人员、设备、工艺技术、资金、维护保养、应急处理等方面应具备相应实施能力。（须提供承诺函）</w:t>
      </w:r>
    </w:p>
    <w:p w14:paraId="5BA4BA35">
      <w:pPr>
        <w:tabs>
          <w:tab w:val="left" w:pos="5220"/>
          <w:tab w:val="left" w:pos="5400"/>
          <w:tab w:val="left" w:pos="5580"/>
        </w:tabs>
        <w:autoSpaceDE w:val="0"/>
        <w:autoSpaceDN w:val="0"/>
        <w:spacing w:line="360" w:lineRule="auto"/>
        <w:ind w:firstLine="420" w:firstLineChars="200"/>
        <w:rPr>
          <w:rFonts w:hint="eastAsia"/>
          <w:kern w:val="0"/>
          <w:szCs w:val="21"/>
        </w:rPr>
      </w:pPr>
      <w:r>
        <w:rPr>
          <w:rFonts w:hint="eastAsia"/>
          <w:kern w:val="0"/>
          <w:szCs w:val="21"/>
        </w:rPr>
        <w:t>6.本次公开比选</w:t>
      </w:r>
      <w:r>
        <w:rPr>
          <w:rFonts w:hint="eastAsia"/>
          <w:kern w:val="0"/>
          <w:szCs w:val="21"/>
          <w:u w:val="single"/>
        </w:rPr>
        <w:t>不接受</w:t>
      </w:r>
      <w:r>
        <w:rPr>
          <w:rFonts w:hint="eastAsia"/>
          <w:kern w:val="0"/>
          <w:szCs w:val="21"/>
        </w:rPr>
        <w:t>联合体参加比选。</w:t>
      </w:r>
    </w:p>
    <w:p w14:paraId="7C6A25FE">
      <w:pPr>
        <w:tabs>
          <w:tab w:val="left" w:pos="5220"/>
          <w:tab w:val="left" w:pos="5400"/>
          <w:tab w:val="left" w:pos="5580"/>
        </w:tabs>
        <w:autoSpaceDE w:val="0"/>
        <w:autoSpaceDN w:val="0"/>
        <w:spacing w:line="360" w:lineRule="auto"/>
        <w:ind w:firstLine="420" w:firstLineChars="200"/>
        <w:rPr>
          <w:rFonts w:hint="eastAsia" w:ascii="Times New Roman" w:hAnsi="Times New Roman" w:eastAsia="宋体" w:cs="Times New Roman"/>
          <w:kern w:val="0"/>
          <w:szCs w:val="21"/>
        </w:rPr>
      </w:pPr>
      <w:r>
        <w:rPr>
          <w:rFonts w:hint="eastAsia" w:ascii="Times New Roman" w:hAnsi="Times New Roman" w:eastAsia="宋体" w:cs="Times New Roman"/>
          <w:b w:val="0"/>
          <w:bCs w:val="0"/>
          <w:color w:val="auto"/>
          <w:kern w:val="0"/>
          <w:sz w:val="21"/>
          <w:szCs w:val="21"/>
          <w:highlight w:val="none"/>
          <w:lang w:val="en-US" w:eastAsia="zh-CN"/>
        </w:rPr>
        <w:t>7.</w:t>
      </w:r>
      <w:r>
        <w:rPr>
          <w:rFonts w:hint="eastAsia" w:ascii="Times New Roman" w:hAnsi="Times New Roman" w:eastAsia="宋体" w:cs="Times New Roman"/>
          <w:b w:val="0"/>
          <w:bCs w:val="0"/>
          <w:color w:val="auto"/>
          <w:kern w:val="0"/>
          <w:sz w:val="21"/>
          <w:szCs w:val="21"/>
          <w:highlight w:val="none"/>
        </w:rPr>
        <w:t>与</w:t>
      </w:r>
      <w:r>
        <w:rPr>
          <w:rFonts w:hint="eastAsia" w:ascii="Times New Roman" w:hAnsi="Times New Roman" w:eastAsia="宋体" w:cs="Times New Roman"/>
          <w:b w:val="0"/>
          <w:bCs w:val="0"/>
          <w:color w:val="auto"/>
          <w:kern w:val="0"/>
          <w:sz w:val="21"/>
          <w:szCs w:val="21"/>
          <w:highlight w:val="none"/>
          <w:lang w:val="en-US" w:eastAsia="zh-CN"/>
        </w:rPr>
        <w:t>比选</w:t>
      </w:r>
      <w:r>
        <w:rPr>
          <w:rFonts w:hint="eastAsia" w:ascii="Times New Roman" w:hAnsi="Times New Roman" w:eastAsia="宋体" w:cs="Times New Roman"/>
          <w:b w:val="0"/>
          <w:bCs w:val="0"/>
          <w:color w:val="auto"/>
          <w:kern w:val="0"/>
          <w:sz w:val="21"/>
          <w:szCs w:val="21"/>
          <w:highlight w:val="none"/>
        </w:rPr>
        <w:t>人存在利害关系可能影响</w:t>
      </w:r>
      <w:r>
        <w:rPr>
          <w:rFonts w:hint="eastAsia" w:ascii="Times New Roman" w:hAnsi="Times New Roman" w:eastAsia="宋体" w:cs="Times New Roman"/>
          <w:b w:val="0"/>
          <w:bCs w:val="0"/>
          <w:color w:val="auto"/>
          <w:kern w:val="0"/>
          <w:sz w:val="21"/>
          <w:szCs w:val="21"/>
          <w:highlight w:val="none"/>
          <w:lang w:val="en-US" w:eastAsia="zh-CN"/>
        </w:rPr>
        <w:t>比选公</w:t>
      </w:r>
      <w:r>
        <w:rPr>
          <w:rFonts w:hint="eastAsia" w:ascii="Times New Roman" w:hAnsi="Times New Roman" w:eastAsia="宋体" w:cs="Times New Roman"/>
          <w:b w:val="0"/>
          <w:bCs w:val="0"/>
          <w:color w:val="auto"/>
          <w:kern w:val="0"/>
          <w:sz w:val="21"/>
          <w:szCs w:val="21"/>
          <w:highlight w:val="none"/>
        </w:rPr>
        <w:t>正性的法人、其他组织或者个人，不得参加</w:t>
      </w:r>
      <w:r>
        <w:rPr>
          <w:rFonts w:hint="eastAsia" w:ascii="Times New Roman" w:hAnsi="Times New Roman" w:eastAsia="宋体" w:cs="Times New Roman"/>
          <w:b w:val="0"/>
          <w:bCs w:val="0"/>
          <w:color w:val="auto"/>
          <w:kern w:val="0"/>
          <w:sz w:val="21"/>
          <w:szCs w:val="21"/>
          <w:highlight w:val="none"/>
          <w:lang w:val="en-US" w:eastAsia="zh-CN"/>
        </w:rPr>
        <w:t>本项目的比选申请</w:t>
      </w:r>
      <w:r>
        <w:rPr>
          <w:rFonts w:hint="eastAsia" w:ascii="Times New Roman" w:hAnsi="Times New Roman" w:eastAsia="宋体" w:cs="Times New Roman"/>
          <w:b w:val="0"/>
          <w:bCs w:val="0"/>
          <w:color w:val="auto"/>
          <w:kern w:val="0"/>
          <w:sz w:val="21"/>
          <w:szCs w:val="21"/>
          <w:highlight w:val="none"/>
        </w:rPr>
        <w:t>；单位负责人为同一人或者存在控股、管理关系的不同单位，不得</w:t>
      </w:r>
      <w:r>
        <w:rPr>
          <w:rFonts w:hint="eastAsia" w:ascii="Times New Roman" w:hAnsi="Times New Roman" w:eastAsia="宋体" w:cs="Times New Roman"/>
          <w:b w:val="0"/>
          <w:bCs w:val="0"/>
          <w:color w:val="auto"/>
          <w:kern w:val="0"/>
          <w:sz w:val="21"/>
          <w:szCs w:val="21"/>
          <w:highlight w:val="none"/>
          <w:lang w:val="en-US" w:eastAsia="zh-CN"/>
        </w:rPr>
        <w:t>同时参加本项目比选</w:t>
      </w:r>
      <w:r>
        <w:rPr>
          <w:rFonts w:hint="eastAsia" w:ascii="Times New Roman" w:hAnsi="Times New Roman" w:eastAsia="宋体" w:cs="Times New Roman"/>
          <w:b w:val="0"/>
          <w:bCs w:val="0"/>
          <w:color w:val="auto"/>
          <w:kern w:val="0"/>
          <w:sz w:val="21"/>
          <w:szCs w:val="21"/>
          <w:highlight w:val="none"/>
        </w:rPr>
        <w:t>。否则，均视为无效投标</w:t>
      </w:r>
      <w:r>
        <w:rPr>
          <w:rFonts w:hint="eastAsia" w:ascii="Times New Roman" w:hAnsi="Times New Roman" w:eastAsia="宋体" w:cs="Times New Roman"/>
          <w:b w:val="0"/>
          <w:bCs w:val="0"/>
          <w:kern w:val="0"/>
          <w:sz w:val="21"/>
          <w:szCs w:val="21"/>
          <w:lang w:eastAsia="zh-CN"/>
        </w:rPr>
        <w:t>。</w:t>
      </w:r>
    </w:p>
    <w:p w14:paraId="5988706C">
      <w:pPr>
        <w:numPr>
          <w:ilvl w:val="255"/>
          <w:numId w:val="0"/>
        </w:numPr>
        <w:spacing w:line="360" w:lineRule="auto"/>
        <w:ind w:firstLine="482" w:firstLineChars="200"/>
        <w:rPr>
          <w:rFonts w:hint="eastAsia" w:ascii="黑体" w:hAnsi="宋体" w:eastAsia="黑体" w:cs="黑体"/>
          <w:b/>
          <w:bCs/>
          <w:kern w:val="0"/>
          <w:sz w:val="24"/>
        </w:rPr>
      </w:pPr>
      <w:r>
        <w:rPr>
          <w:rFonts w:hint="eastAsia" w:ascii="黑体" w:hAnsi="宋体" w:eastAsia="黑体" w:cs="黑体"/>
          <w:b/>
          <w:bCs/>
          <w:kern w:val="0"/>
          <w:sz w:val="24"/>
        </w:rPr>
        <w:t>四、设备要求</w:t>
      </w:r>
    </w:p>
    <w:p w14:paraId="624DD206">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（1）供应的充电堆设备（材料）应符合最新颁布的国家或行业、地方颁布的标准及规范，包括但不限于：</w:t>
      </w:r>
    </w:p>
    <w:p w14:paraId="5E7F1482">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《供配电系统设计规范》GB50050；</w:t>
      </w:r>
    </w:p>
    <w:p w14:paraId="4C42A162">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《低压配电设计规范》GB50054；</w:t>
      </w:r>
    </w:p>
    <w:p w14:paraId="3336047E">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《电动汽车传导充电系统第一部分：通用要求》GB/T18487.1；</w:t>
      </w:r>
    </w:p>
    <w:p w14:paraId="3A573216">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《电动汽车非车载传导式充电机与电池管理系统之间的通信协议》GB/T27930；</w:t>
      </w:r>
    </w:p>
    <w:p w14:paraId="3E294771">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《电动汽车传导充电用连接装置第一部分：通用要求》GB/T20234.1；</w:t>
      </w:r>
    </w:p>
    <w:p w14:paraId="50A67E89">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《电动汽车传导充电用连接装置第三部分：直流充电接口》GB/T20234.3。</w:t>
      </w:r>
    </w:p>
    <w:p w14:paraId="1E51285C">
      <w:pPr>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以及其他有关国家及地方、行业的现行规程和规范。</w:t>
      </w:r>
    </w:p>
    <w:p w14:paraId="2A861C0D">
      <w:pPr>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（2）设备应首先采用中华人民共和国国家标准及部颁标准和行业标准，在国内标准不完善的情况下，同时符合充电行业电器设备质量标准及比选人的项目需求。</w:t>
      </w:r>
    </w:p>
    <w:p w14:paraId="75EEF543">
      <w:pPr>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（3）应在比选申请文件中如实提供设备主要零部件（充电枪、充电模块）制造商名称，并保证提供的设备是上述制造商的原装产品。</w:t>
      </w:r>
    </w:p>
    <w:p w14:paraId="6B4403AC">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（4）比选申请人提供的充电设备验收标准应符合有关国家标准。</w:t>
      </w:r>
    </w:p>
    <w:p w14:paraId="2B4DD2E6">
      <w:pPr>
        <w:tabs>
          <w:tab w:val="left" w:pos="5220"/>
          <w:tab w:val="left" w:pos="5400"/>
          <w:tab w:val="left" w:pos="5580"/>
        </w:tabs>
        <w:autoSpaceDE w:val="0"/>
        <w:autoSpaceDN w:val="0"/>
        <w:spacing w:line="360" w:lineRule="auto"/>
        <w:ind w:firstLine="420" w:firstLineChars="200"/>
      </w:pPr>
      <w:r>
        <w:rPr>
          <w:rFonts w:hint="eastAsia"/>
          <w:kern w:val="0"/>
          <w:szCs w:val="21"/>
        </w:rPr>
        <w:t>（5）充电设备具有功率智能分配功能，设备调试后，比选申请人对调试成果质量负责。</w:t>
      </w:r>
    </w:p>
    <w:p w14:paraId="63A08D4E">
      <w:pPr>
        <w:numPr>
          <w:ilvl w:val="255"/>
          <w:numId w:val="0"/>
        </w:numPr>
        <w:spacing w:line="360" w:lineRule="auto"/>
        <w:ind w:firstLine="482" w:firstLineChars="200"/>
        <w:rPr>
          <w:rFonts w:hint="eastAsia" w:ascii="黑体" w:hAnsi="宋体" w:eastAsia="黑体" w:cs="黑体"/>
          <w:b/>
          <w:bCs/>
          <w:kern w:val="0"/>
          <w:sz w:val="24"/>
        </w:rPr>
      </w:pPr>
      <w:r>
        <w:rPr>
          <w:rFonts w:hint="eastAsia" w:ascii="黑体" w:hAnsi="宋体" w:eastAsia="黑体" w:cs="黑体"/>
          <w:b/>
          <w:bCs/>
          <w:kern w:val="0"/>
          <w:sz w:val="24"/>
        </w:rPr>
        <w:t>五、完成期限</w:t>
      </w:r>
    </w:p>
    <w:p w14:paraId="2159DBAE">
      <w:pPr>
        <w:pStyle w:val="2"/>
        <w:ind w:left="0" w:leftChars="0"/>
        <w:rPr>
          <w:rFonts w:ascii="Times New Roman"/>
          <w:sz w:val="21"/>
          <w:szCs w:val="21"/>
        </w:rPr>
      </w:pPr>
      <w:r>
        <w:rPr>
          <w:rFonts w:hint="eastAsia" w:ascii="Times New Roman"/>
          <w:sz w:val="21"/>
          <w:szCs w:val="21"/>
        </w:rPr>
        <w:t>1.完成期限：</w:t>
      </w:r>
      <w:r>
        <w:rPr>
          <w:rFonts w:hint="eastAsia"/>
          <w:sz w:val="21"/>
          <w:szCs w:val="21"/>
        </w:rPr>
        <w:t>在接</w:t>
      </w:r>
      <w:r>
        <w:rPr>
          <w:rFonts w:hint="eastAsia" w:ascii="Times New Roman"/>
          <w:sz w:val="21"/>
          <w:szCs w:val="21"/>
        </w:rPr>
        <w:t>收到</w:t>
      </w:r>
      <w:r>
        <w:rPr>
          <w:rFonts w:hint="eastAsia"/>
          <w:sz w:val="21"/>
          <w:szCs w:val="21"/>
        </w:rPr>
        <w:t>比选人</w:t>
      </w:r>
      <w:r>
        <w:rPr>
          <w:rFonts w:hint="eastAsia" w:ascii="Times New Roman"/>
          <w:sz w:val="21"/>
          <w:szCs w:val="21"/>
        </w:rPr>
        <w:t>发货通知后</w:t>
      </w:r>
      <w:r>
        <w:rPr>
          <w:rFonts w:hint="eastAsia"/>
          <w:sz w:val="21"/>
          <w:szCs w:val="21"/>
        </w:rPr>
        <w:t>5个日</w:t>
      </w:r>
      <w:r>
        <w:rPr>
          <w:rFonts w:hint="eastAsia" w:ascii="Times New Roman"/>
          <w:sz w:val="21"/>
          <w:szCs w:val="21"/>
        </w:rPr>
        <w:t>历天内</w:t>
      </w:r>
      <w:r>
        <w:rPr>
          <w:rFonts w:hint="eastAsia"/>
          <w:sz w:val="21"/>
          <w:szCs w:val="21"/>
        </w:rPr>
        <w:t>完成供应、运输、</w:t>
      </w:r>
      <w:r>
        <w:rPr>
          <w:rFonts w:hint="eastAsia" w:ascii="Times New Roman"/>
          <w:sz w:val="21"/>
          <w:szCs w:val="21"/>
        </w:rPr>
        <w:t>交货，安装完成后7个日历天内完成</w:t>
      </w:r>
      <w:r>
        <w:rPr>
          <w:rFonts w:hint="eastAsia"/>
          <w:sz w:val="21"/>
          <w:szCs w:val="21"/>
        </w:rPr>
        <w:t>调试、计量检定</w:t>
      </w:r>
      <w:r>
        <w:rPr>
          <w:rFonts w:hint="eastAsia" w:ascii="Times New Roman"/>
          <w:sz w:val="21"/>
          <w:szCs w:val="21"/>
        </w:rPr>
        <w:t>，取得检定合格证书，并保证实现全部功能和实际使用。</w:t>
      </w:r>
    </w:p>
    <w:p w14:paraId="0F4D5CBC">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2.交货地点及数量：</w:t>
      </w:r>
    </w:p>
    <w:tbl>
      <w:tblPr>
        <w:tblStyle w:val="26"/>
        <w:tblW w:w="8954" w:type="dxa"/>
        <w:tblInd w:w="96" w:type="dxa"/>
        <w:tblLayout w:type="fixed"/>
        <w:tblCellMar>
          <w:top w:w="0" w:type="dxa"/>
          <w:left w:w="108" w:type="dxa"/>
          <w:bottom w:w="0" w:type="dxa"/>
          <w:right w:w="108" w:type="dxa"/>
        </w:tblCellMar>
      </w:tblPr>
      <w:tblGrid>
        <w:gridCol w:w="885"/>
        <w:gridCol w:w="2215"/>
        <w:gridCol w:w="1457"/>
        <w:gridCol w:w="838"/>
        <w:gridCol w:w="3559"/>
      </w:tblGrid>
      <w:tr w14:paraId="760DF4F3">
        <w:tblPrEx>
          <w:tblCellMar>
            <w:top w:w="0" w:type="dxa"/>
            <w:left w:w="108" w:type="dxa"/>
            <w:bottom w:w="0" w:type="dxa"/>
            <w:right w:w="108" w:type="dxa"/>
          </w:tblCellMar>
        </w:tblPrEx>
        <w:trPr>
          <w:trHeight w:val="52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4674">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序号</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A5C8">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高速路段</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DB1A">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服务区名称</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2812">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座数</w:t>
            </w:r>
          </w:p>
        </w:tc>
        <w:tc>
          <w:tcPr>
            <w:tcW w:w="3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1A26">
            <w:pPr>
              <w:widowControl/>
              <w:spacing w:line="360"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充电设备数量及规格</w:t>
            </w:r>
          </w:p>
        </w:tc>
      </w:tr>
      <w:tr w14:paraId="1BDA7A2F">
        <w:tblPrEx>
          <w:tblCellMar>
            <w:top w:w="0" w:type="dxa"/>
            <w:left w:w="108" w:type="dxa"/>
            <w:bottom w:w="0" w:type="dxa"/>
            <w:right w:w="108" w:type="dxa"/>
          </w:tblCellMar>
        </w:tblPrEx>
        <w:trPr>
          <w:trHeight w:val="60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039E">
            <w:pPr>
              <w:widowControl/>
              <w:spacing w:line="36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8942">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绵九高速</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800B">
            <w:pPr>
              <w:widowControl/>
              <w:spacing w:line="360" w:lineRule="auto"/>
              <w:jc w:val="center"/>
              <w:textAlignment w:val="center"/>
              <w:rPr>
                <w:rFonts w:hint="default"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val="en-US" w:eastAsia="zh-CN" w:bidi="ar"/>
              </w:rPr>
              <w:t>柴门关服务区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0261">
            <w:pPr>
              <w:widowControl/>
              <w:spacing w:line="36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3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4204">
            <w:pPr>
              <w:widowControl/>
              <w:spacing w:line="36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每侧服务区1</w:t>
            </w:r>
            <w:r>
              <w:rPr>
                <w:rFonts w:hint="eastAsia" w:ascii="宋体" w:hAnsi="宋体" w:cs="宋体"/>
                <w:color w:val="000000"/>
                <w:kern w:val="0"/>
                <w:sz w:val="18"/>
                <w:szCs w:val="18"/>
                <w:lang w:val="en-US" w:eastAsia="zh-CN" w:bidi="ar"/>
              </w:rPr>
              <w:t>套</w:t>
            </w:r>
            <w:r>
              <w:rPr>
                <w:rFonts w:hint="eastAsia" w:ascii="宋体" w:hAnsi="宋体" w:cs="宋体"/>
                <w:color w:val="000000"/>
                <w:kern w:val="0"/>
                <w:sz w:val="18"/>
                <w:szCs w:val="18"/>
                <w:lang w:bidi="ar"/>
              </w:rPr>
              <w:t>480kw 充电堆，每</w:t>
            </w:r>
            <w:r>
              <w:rPr>
                <w:rFonts w:hint="eastAsia" w:ascii="宋体" w:hAnsi="宋体" w:cs="宋体"/>
                <w:color w:val="000000"/>
                <w:kern w:val="0"/>
                <w:sz w:val="18"/>
                <w:szCs w:val="18"/>
                <w:lang w:val="en-US" w:eastAsia="zh-CN" w:bidi="ar"/>
              </w:rPr>
              <w:t>套</w:t>
            </w:r>
            <w:r>
              <w:rPr>
                <w:rFonts w:hint="eastAsia" w:ascii="宋体" w:hAnsi="宋体" w:cs="宋体"/>
                <w:color w:val="000000"/>
                <w:kern w:val="0"/>
                <w:sz w:val="18"/>
                <w:szCs w:val="18"/>
                <w:lang w:bidi="ar"/>
              </w:rPr>
              <w:t>充电堆</w:t>
            </w:r>
            <w:r>
              <w:rPr>
                <w:rFonts w:hint="eastAsia" w:ascii="宋体" w:hAnsi="宋体" w:eastAsia="宋体" w:cs="宋体"/>
                <w:color w:val="000000"/>
                <w:kern w:val="0"/>
                <w:sz w:val="18"/>
                <w:szCs w:val="18"/>
                <w:highlight w:val="none"/>
                <w:lang w:bidi="ar"/>
              </w:rPr>
              <w:t>包含</w:t>
            </w:r>
            <w:r>
              <w:rPr>
                <w:rFonts w:hint="eastAsia" w:ascii="宋体" w:hAnsi="宋体" w:eastAsia="宋体" w:cs="宋体"/>
                <w:color w:val="000000"/>
                <w:kern w:val="0"/>
                <w:sz w:val="18"/>
                <w:szCs w:val="18"/>
                <w:highlight w:val="none"/>
                <w:lang w:eastAsia="zh-CN" w:bidi="ar"/>
              </w:rPr>
              <w:t>4</w:t>
            </w:r>
            <w:r>
              <w:rPr>
                <w:rFonts w:hint="eastAsia" w:ascii="宋体" w:hAnsi="宋体" w:eastAsia="宋体" w:cs="宋体"/>
                <w:color w:val="000000"/>
                <w:kern w:val="0"/>
                <w:sz w:val="18"/>
                <w:szCs w:val="18"/>
                <w:highlight w:val="none"/>
                <w:lang w:val="en-US" w:eastAsia="zh-CN" w:bidi="ar"/>
              </w:rPr>
              <w:t>台</w:t>
            </w:r>
            <w:r>
              <w:rPr>
                <w:rFonts w:hint="eastAsia" w:ascii="宋体" w:hAnsi="宋体" w:eastAsia="宋体" w:cs="宋体"/>
                <w:color w:val="000000"/>
                <w:kern w:val="0"/>
                <w:sz w:val="18"/>
                <w:szCs w:val="18"/>
                <w:highlight w:val="none"/>
                <w:lang w:bidi="ar"/>
              </w:rPr>
              <w:t>普通充电</w:t>
            </w:r>
            <w:r>
              <w:rPr>
                <w:rFonts w:hint="eastAsia" w:ascii="宋体" w:hAnsi="宋体" w:eastAsia="宋体" w:cs="宋体"/>
                <w:color w:val="000000"/>
                <w:kern w:val="0"/>
                <w:sz w:val="18"/>
                <w:szCs w:val="18"/>
                <w:highlight w:val="none"/>
                <w:lang w:val="en-US" w:eastAsia="zh-CN" w:bidi="ar"/>
              </w:rPr>
              <w:t>桩</w:t>
            </w:r>
            <w:r>
              <w:rPr>
                <w:rFonts w:hint="eastAsia" w:ascii="宋体" w:hAnsi="宋体" w:eastAsia="宋体" w:cs="宋体"/>
                <w:color w:val="000000"/>
                <w:kern w:val="0"/>
                <w:sz w:val="18"/>
                <w:szCs w:val="18"/>
                <w:highlight w:val="none"/>
                <w:lang w:bidi="ar"/>
              </w:rPr>
              <w:t>（单桩双枪）</w:t>
            </w:r>
          </w:p>
        </w:tc>
      </w:tr>
    </w:tbl>
    <w:p w14:paraId="1CD5A268">
      <w:pPr>
        <w:tabs>
          <w:tab w:val="left" w:pos="5220"/>
          <w:tab w:val="left" w:pos="5400"/>
          <w:tab w:val="left" w:pos="5580"/>
        </w:tabs>
        <w:autoSpaceDE w:val="0"/>
        <w:autoSpaceDN w:val="0"/>
        <w:spacing w:line="360" w:lineRule="auto"/>
        <w:ind w:firstLine="420" w:firstLineChars="200"/>
        <w:rPr>
          <w:kern w:val="0"/>
          <w:szCs w:val="21"/>
        </w:rPr>
      </w:pPr>
    </w:p>
    <w:p w14:paraId="104BC0D4">
      <w:pPr>
        <w:tabs>
          <w:tab w:val="left" w:pos="5220"/>
          <w:tab w:val="left" w:pos="5400"/>
          <w:tab w:val="left" w:pos="5580"/>
        </w:tabs>
        <w:autoSpaceDE w:val="0"/>
        <w:autoSpaceDN w:val="0"/>
        <w:spacing w:line="360" w:lineRule="auto"/>
        <w:ind w:firstLine="422" w:firstLineChars="200"/>
        <w:rPr>
          <w:b/>
          <w:bCs/>
          <w:kern w:val="0"/>
          <w:szCs w:val="21"/>
        </w:rPr>
      </w:pPr>
      <w:r>
        <w:rPr>
          <w:rFonts w:hint="eastAsia"/>
          <w:b/>
          <w:bCs/>
          <w:kern w:val="0"/>
          <w:szCs w:val="21"/>
        </w:rPr>
        <w:t>注：最终实际采购设备数量以比选人书面发货通知单上的设备数量为准，若最终实际采购设备数</w:t>
      </w:r>
    </w:p>
    <w:p w14:paraId="453142D5">
      <w:pPr>
        <w:spacing w:line="360" w:lineRule="auto"/>
        <w:rPr>
          <w:b/>
          <w:bCs/>
        </w:rPr>
      </w:pPr>
      <w:r>
        <w:rPr>
          <w:rFonts w:hint="eastAsia"/>
          <w:b/>
          <w:bCs/>
          <w:kern w:val="0"/>
          <w:szCs w:val="21"/>
        </w:rPr>
        <w:t>量与拟采购设备数量不一致，比选申请人不得以此为由向比选人索赔。</w:t>
      </w:r>
    </w:p>
    <w:p w14:paraId="0DDDB99A">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3.其他要求：充电堆设备的生产需符合国家对充电堆设备的最新要求，充电堆设备要具有节能高效、智能化水平高的特点，确保产品质量的可靠性、稳定性。比选申请报价应充分考虑充电堆设备</w:t>
      </w:r>
      <w:r>
        <w:rPr>
          <w:rFonts w:hint="eastAsia"/>
          <w:kern w:val="0"/>
          <w:szCs w:val="21"/>
          <w:lang w:bidi="ar"/>
        </w:rPr>
        <w:t>(含全部配件、备品备件、材料、专用工具)的</w:t>
      </w:r>
      <w:r>
        <w:rPr>
          <w:rFonts w:hint="eastAsia"/>
          <w:kern w:val="0"/>
          <w:szCs w:val="21"/>
        </w:rPr>
        <w:t>设计费、设备费、</w:t>
      </w:r>
      <w:r>
        <w:rPr>
          <w:rFonts w:hint="eastAsia"/>
          <w:kern w:val="0"/>
          <w:szCs w:val="21"/>
          <w:lang w:bidi="ar"/>
        </w:rPr>
        <w:t>仓储费、</w:t>
      </w:r>
      <w:r>
        <w:rPr>
          <w:rFonts w:hint="eastAsia"/>
          <w:kern w:val="0"/>
          <w:szCs w:val="21"/>
        </w:rPr>
        <w:t>运输费、</w:t>
      </w:r>
      <w:r>
        <w:rPr>
          <w:rFonts w:hint="eastAsia"/>
          <w:kern w:val="0"/>
          <w:szCs w:val="21"/>
          <w:lang w:bidi="ar"/>
        </w:rPr>
        <w:t>包装费、运杂费、</w:t>
      </w:r>
      <w:r>
        <w:rPr>
          <w:rFonts w:hint="eastAsia"/>
          <w:kern w:val="0"/>
          <w:szCs w:val="21"/>
        </w:rPr>
        <w:t>吊装费、卸车费、</w:t>
      </w:r>
      <w:r>
        <w:rPr>
          <w:rFonts w:hint="eastAsia"/>
          <w:kern w:val="0"/>
          <w:szCs w:val="21"/>
          <w:lang w:bidi="ar"/>
        </w:rPr>
        <w:t>临时</w:t>
      </w:r>
      <w:r>
        <w:rPr>
          <w:rFonts w:hint="eastAsia"/>
          <w:kern w:val="0"/>
          <w:szCs w:val="21"/>
        </w:rPr>
        <w:t>保管费、人工费、保险费、调试费、税费、管理费、</w:t>
      </w:r>
      <w:r>
        <w:rPr>
          <w:rFonts w:hint="eastAsia"/>
          <w:kern w:val="0"/>
          <w:szCs w:val="21"/>
          <w:lang w:bidi="ar"/>
        </w:rPr>
        <w:t>技术服务费、技术资料费、</w:t>
      </w:r>
      <w:r>
        <w:rPr>
          <w:rFonts w:hint="eastAsia"/>
          <w:kern w:val="0"/>
          <w:szCs w:val="21"/>
        </w:rPr>
        <w:t>检测费、计量检定、</w:t>
      </w:r>
      <w:r>
        <w:rPr>
          <w:rFonts w:hint="eastAsia"/>
          <w:kern w:val="0"/>
          <w:szCs w:val="21"/>
          <w:lang w:bidi="ar"/>
        </w:rPr>
        <w:t>质保及免费上门维护费等与比选申请人应承担的所有义务和所有工作的一切费用。</w:t>
      </w:r>
      <w:r>
        <w:rPr>
          <w:rFonts w:hint="eastAsia"/>
          <w:kern w:val="0"/>
          <w:szCs w:val="21"/>
        </w:rPr>
        <w:t>比选申请人应全面考虑充电堆设备的整体性、可靠性，如出现质量、安全等问题，比选申请人须承担法律责任及所造成的直接、间接经济损失。</w:t>
      </w:r>
    </w:p>
    <w:p w14:paraId="0E2602B8">
      <w:pPr>
        <w:pStyle w:val="15"/>
        <w:snapToGrid w:val="0"/>
        <w:spacing w:line="360" w:lineRule="auto"/>
        <w:ind w:firstLine="482" w:firstLineChars="200"/>
        <w:outlineLvl w:val="1"/>
        <w:rPr>
          <w:rFonts w:hint="eastAsia" w:ascii="黑体" w:hAnsi="宋体" w:eastAsia="黑体"/>
          <w:b/>
          <w:bCs/>
          <w:kern w:val="0"/>
          <w:sz w:val="24"/>
          <w:szCs w:val="24"/>
        </w:rPr>
      </w:pPr>
      <w:r>
        <w:rPr>
          <w:rFonts w:hint="eastAsia" w:ascii="黑体" w:hAnsi="宋体" w:eastAsia="黑体" w:cs="黑体"/>
          <w:b/>
          <w:bCs/>
          <w:kern w:val="0"/>
          <w:sz w:val="24"/>
          <w:szCs w:val="24"/>
        </w:rPr>
        <w:t>六、评标办法</w:t>
      </w:r>
    </w:p>
    <w:p w14:paraId="6343020A">
      <w:pPr>
        <w:pStyle w:val="14"/>
        <w:spacing w:after="0" w:line="360" w:lineRule="auto"/>
        <w:ind w:firstLine="420" w:firstLineChars="200"/>
        <w:rPr>
          <w:kern w:val="0"/>
          <w:szCs w:val="21"/>
        </w:rPr>
      </w:pPr>
      <w:r>
        <w:rPr>
          <w:kern w:val="0"/>
          <w:szCs w:val="21"/>
        </w:rPr>
        <w:t>本次评标办法采用</w:t>
      </w:r>
      <w:r>
        <w:rPr>
          <w:rFonts w:hint="eastAsia"/>
          <w:kern w:val="0"/>
          <w:szCs w:val="21"/>
          <w:lang w:eastAsia="zh-CN"/>
        </w:rPr>
        <w:t>综合评</w:t>
      </w:r>
      <w:r>
        <w:rPr>
          <w:rFonts w:hint="eastAsia"/>
          <w:kern w:val="0"/>
          <w:szCs w:val="21"/>
          <w:lang w:val="en-US" w:eastAsia="zh-CN"/>
        </w:rPr>
        <w:t>分</w:t>
      </w:r>
      <w:r>
        <w:rPr>
          <w:rFonts w:hint="eastAsia"/>
          <w:kern w:val="0"/>
          <w:szCs w:val="21"/>
          <w:lang w:eastAsia="zh-CN"/>
        </w:rPr>
        <w:t>法</w:t>
      </w:r>
      <w:r>
        <w:rPr>
          <w:kern w:val="0"/>
          <w:szCs w:val="21"/>
        </w:rPr>
        <w:t>，资格后审。</w:t>
      </w:r>
    </w:p>
    <w:p w14:paraId="1CB2387D">
      <w:pPr>
        <w:adjustRightInd w:val="0"/>
        <w:snapToGrid w:val="0"/>
        <w:spacing w:line="360" w:lineRule="auto"/>
        <w:ind w:firstLine="482" w:firstLineChars="200"/>
        <w:rPr>
          <w:rFonts w:hint="eastAsia" w:ascii="黑体" w:hAnsi="宋体" w:eastAsia="黑体" w:cs="黑体"/>
          <w:b/>
          <w:bCs/>
          <w:kern w:val="0"/>
          <w:sz w:val="24"/>
        </w:rPr>
      </w:pPr>
      <w:r>
        <w:rPr>
          <w:rFonts w:hint="eastAsia" w:ascii="黑体" w:hAnsi="宋体" w:eastAsia="黑体" w:cs="黑体"/>
          <w:b/>
          <w:bCs/>
          <w:kern w:val="0"/>
          <w:sz w:val="24"/>
        </w:rPr>
        <w:t>七、比选文件的获取</w:t>
      </w:r>
    </w:p>
    <w:p w14:paraId="1932A61E">
      <w:pPr>
        <w:spacing w:line="360" w:lineRule="auto"/>
        <w:ind w:firstLine="420" w:firstLineChars="200"/>
        <w:rPr>
          <w:rFonts w:hint="eastAsia"/>
          <w:color w:val="000000"/>
          <w:kern w:val="0"/>
          <w:szCs w:val="21"/>
          <w:highlight w:val="none"/>
        </w:rPr>
      </w:pPr>
      <w:r>
        <w:rPr>
          <w:rFonts w:hint="eastAsia"/>
          <w:color w:val="000000"/>
          <w:kern w:val="0"/>
          <w:szCs w:val="21"/>
          <w:highlight w:val="none"/>
        </w:rPr>
        <w:t>1.</w:t>
      </w:r>
      <w:r>
        <w:rPr>
          <w:rFonts w:hint="eastAsia"/>
          <w:color w:val="000000"/>
          <w:kern w:val="0"/>
          <w:szCs w:val="21"/>
          <w:highlight w:val="none"/>
        </w:rPr>
        <w:fldChar w:fldCharType="begin"/>
      </w:r>
      <w:r>
        <w:rPr>
          <w:rFonts w:hint="eastAsia"/>
          <w:color w:val="000000"/>
          <w:kern w:val="0"/>
          <w:szCs w:val="21"/>
          <w:highlight w:val="none"/>
        </w:rPr>
        <w:instrText xml:space="preserve"> HYPERLINK "mailto:通过邮箱报名，凡有意参加比选竞争并符合第三条" </w:instrText>
      </w:r>
      <w:r>
        <w:rPr>
          <w:rFonts w:hint="eastAsia"/>
          <w:color w:val="000000"/>
          <w:kern w:val="0"/>
          <w:szCs w:val="21"/>
          <w:highlight w:val="none"/>
        </w:rPr>
        <w:fldChar w:fldCharType="separate"/>
      </w:r>
      <w:r>
        <w:rPr>
          <w:rFonts w:hint="eastAsia"/>
          <w:color w:val="000000"/>
          <w:kern w:val="0"/>
          <w:szCs w:val="21"/>
          <w:highlight w:val="none"/>
        </w:rPr>
        <w:t>凡有意参加比选竞争并符合第三条“比选申请人资格要求”的申请人，请于</w:t>
      </w:r>
      <w:r>
        <w:rPr>
          <w:rFonts w:hint="eastAsia"/>
          <w:color w:val="000000"/>
          <w:kern w:val="0"/>
          <w:szCs w:val="21"/>
          <w:highlight w:val="none"/>
          <w:lang w:eastAsia="zh-CN"/>
        </w:rPr>
        <w:t>2025年</w:t>
      </w:r>
      <w:r>
        <w:rPr>
          <w:rFonts w:hint="eastAsia"/>
          <w:color w:val="000000"/>
          <w:kern w:val="0"/>
          <w:szCs w:val="21"/>
          <w:highlight w:val="none"/>
          <w:lang w:val="en-US" w:eastAsia="zh-CN"/>
        </w:rPr>
        <w:t>6</w:t>
      </w:r>
      <w:r>
        <w:rPr>
          <w:rFonts w:hint="eastAsia"/>
          <w:color w:val="000000"/>
          <w:kern w:val="0"/>
          <w:szCs w:val="21"/>
          <w:highlight w:val="none"/>
        </w:rPr>
        <w:t>月</w:t>
      </w:r>
      <w:r>
        <w:rPr>
          <w:rFonts w:hint="eastAsia"/>
          <w:color w:val="000000"/>
          <w:kern w:val="0"/>
          <w:szCs w:val="21"/>
          <w:highlight w:val="none"/>
          <w:lang w:val="en-US" w:eastAsia="zh-CN"/>
        </w:rPr>
        <w:t>6</w:t>
      </w:r>
      <w:r>
        <w:rPr>
          <w:rFonts w:hint="eastAsia"/>
          <w:color w:val="000000"/>
          <w:kern w:val="0"/>
          <w:szCs w:val="21"/>
          <w:highlight w:val="none"/>
        </w:rPr>
        <w:t>日至</w:t>
      </w:r>
      <w:r>
        <w:rPr>
          <w:rFonts w:hint="eastAsia"/>
          <w:color w:val="000000"/>
          <w:kern w:val="0"/>
          <w:szCs w:val="21"/>
          <w:highlight w:val="none"/>
          <w:lang w:eastAsia="zh-CN"/>
        </w:rPr>
        <w:t>2025年</w:t>
      </w:r>
      <w:r>
        <w:rPr>
          <w:rFonts w:hint="eastAsia"/>
          <w:color w:val="000000"/>
          <w:kern w:val="0"/>
          <w:szCs w:val="21"/>
          <w:highlight w:val="none"/>
          <w:lang w:val="en-US" w:eastAsia="zh-CN"/>
        </w:rPr>
        <w:t>6</w:t>
      </w:r>
      <w:r>
        <w:rPr>
          <w:rFonts w:hint="eastAsia"/>
          <w:color w:val="000000"/>
          <w:kern w:val="0"/>
          <w:szCs w:val="21"/>
          <w:highlight w:val="none"/>
        </w:rPr>
        <w:t>月</w:t>
      </w:r>
      <w:r>
        <w:rPr>
          <w:rFonts w:hint="eastAsia"/>
          <w:color w:val="000000"/>
          <w:kern w:val="0"/>
          <w:szCs w:val="21"/>
          <w:highlight w:val="none"/>
          <w:lang w:val="en-US" w:eastAsia="zh-CN"/>
        </w:rPr>
        <w:t>11</w:t>
      </w:r>
      <w:r>
        <w:rPr>
          <w:rFonts w:hint="eastAsia"/>
          <w:color w:val="000000"/>
          <w:kern w:val="0"/>
          <w:szCs w:val="21"/>
          <w:highlight w:val="none"/>
        </w:rPr>
        <w:t>日</w:t>
      </w:r>
      <w:bookmarkStart w:id="63" w:name="_GoBack"/>
      <w:bookmarkEnd w:id="63"/>
      <w:r>
        <w:rPr>
          <w:rFonts w:hint="eastAsia" w:ascii="Times New Roman" w:hAnsi="Times New Roman" w:eastAsia="宋体" w:cs="Times New Roman"/>
          <w:i w:val="0"/>
          <w:iCs w:val="0"/>
          <w:caps w:val="0"/>
          <w:color w:val="000000"/>
          <w:spacing w:val="0"/>
          <w:kern w:val="0"/>
          <w:sz w:val="21"/>
          <w:szCs w:val="21"/>
          <w:highlight w:val="none"/>
        </w:rPr>
        <w:t>通过</w:t>
      </w:r>
      <w:r>
        <w:rPr>
          <w:rFonts w:hint="eastAsia" w:ascii="Times New Roman" w:hAnsi="Times New Roman" w:cs="Times New Roman"/>
          <w:color w:val="000000"/>
          <w:kern w:val="0"/>
          <w:sz w:val="21"/>
          <w:szCs w:val="21"/>
          <w:highlight w:val="none"/>
          <w:u w:val="none"/>
        </w:rPr>
        <w:t>四川蜀道新能源科技发展有限公司网站（http://www.sdxnykj.cn/）</w:t>
      </w:r>
      <w:r>
        <w:rPr>
          <w:rFonts w:hint="eastAsia" w:ascii="Times New Roman" w:hAnsi="Times New Roman" w:eastAsia="宋体" w:cs="Times New Roman"/>
          <w:i w:val="0"/>
          <w:iCs w:val="0"/>
          <w:caps w:val="0"/>
          <w:color w:val="000000"/>
          <w:spacing w:val="0"/>
          <w:kern w:val="0"/>
          <w:sz w:val="21"/>
          <w:szCs w:val="21"/>
          <w:highlight w:val="none"/>
        </w:rPr>
        <w:t>免费下载比选文件</w:t>
      </w:r>
      <w:r>
        <w:rPr>
          <w:rFonts w:hint="eastAsia" w:cs="Times New Roman"/>
          <w:i w:val="0"/>
          <w:iCs w:val="0"/>
          <w:caps w:val="0"/>
          <w:color w:val="000000"/>
          <w:spacing w:val="0"/>
          <w:kern w:val="0"/>
          <w:sz w:val="21"/>
          <w:szCs w:val="21"/>
          <w:highlight w:val="none"/>
          <w:lang w:eastAsia="zh-CN"/>
        </w:rPr>
        <w:t>。</w:t>
      </w:r>
    </w:p>
    <w:p w14:paraId="702297A4">
      <w:pPr>
        <w:widowControl/>
        <w:autoSpaceDE/>
        <w:autoSpaceDN/>
        <w:spacing w:line="360" w:lineRule="auto"/>
        <w:ind w:firstLine="0" w:firstLineChars="0"/>
        <w:jc w:val="left"/>
      </w:pPr>
      <w:r>
        <w:rPr>
          <w:rFonts w:hint="eastAsia"/>
          <w:color w:val="000000"/>
          <w:kern w:val="0"/>
          <w:szCs w:val="21"/>
          <w:highlight w:val="none"/>
        </w:rPr>
        <w:fldChar w:fldCharType="end"/>
      </w:r>
      <w:r>
        <w:rPr>
          <w:rFonts w:hint="eastAsia"/>
          <w:color w:val="000000"/>
          <w:kern w:val="0"/>
          <w:szCs w:val="21"/>
          <w:highlight w:val="none"/>
          <w:lang w:val="en-US" w:eastAsia="zh-CN"/>
        </w:rPr>
        <w:t xml:space="preserve">    </w:t>
      </w:r>
      <w:r>
        <w:rPr>
          <w:rFonts w:hint="eastAsia"/>
          <w:kern w:val="0"/>
          <w:szCs w:val="21"/>
        </w:rPr>
        <w:t>2.比选</w:t>
      </w:r>
      <w:r>
        <w:rPr>
          <w:kern w:val="0"/>
          <w:szCs w:val="21"/>
        </w:rPr>
        <w:t>文件费用和</w:t>
      </w:r>
      <w:r>
        <w:rPr>
          <w:rFonts w:hint="eastAsia"/>
          <w:kern w:val="0"/>
          <w:szCs w:val="21"/>
        </w:rPr>
        <w:t>比选申请</w:t>
      </w:r>
      <w:r>
        <w:rPr>
          <w:kern w:val="0"/>
          <w:szCs w:val="21"/>
        </w:rPr>
        <w:t>保证金费用的约定：</w:t>
      </w:r>
    </w:p>
    <w:p w14:paraId="383D5B92">
      <w:pPr>
        <w:numPr>
          <w:ilvl w:val="255"/>
          <w:numId w:val="0"/>
        </w:numPr>
        <w:spacing w:line="360" w:lineRule="auto"/>
        <w:ind w:right="149" w:rightChars="71" w:firstLine="420" w:firstLineChars="200"/>
        <w:jc w:val="left"/>
        <w:rPr>
          <w:kern w:val="0"/>
          <w:szCs w:val="21"/>
        </w:rPr>
      </w:pPr>
      <w:r>
        <w:rPr>
          <w:rFonts w:hint="eastAsia"/>
          <w:kern w:val="0"/>
          <w:szCs w:val="21"/>
        </w:rPr>
        <w:t>比选</w:t>
      </w:r>
      <w:r>
        <w:rPr>
          <w:kern w:val="0"/>
          <w:szCs w:val="21"/>
        </w:rPr>
        <w:t>文件费用</w:t>
      </w:r>
      <w:r>
        <w:rPr>
          <w:rFonts w:hint="eastAsia"/>
          <w:kern w:val="0"/>
          <w:szCs w:val="21"/>
        </w:rPr>
        <w:t>：无；</w:t>
      </w:r>
    </w:p>
    <w:p w14:paraId="24EEB02E">
      <w:pPr>
        <w:widowControl/>
        <w:numPr>
          <w:ilvl w:val="255"/>
          <w:numId w:val="0"/>
        </w:numPr>
        <w:spacing w:line="360" w:lineRule="auto"/>
        <w:ind w:right="149" w:rightChars="71" w:firstLine="420" w:firstLineChars="200"/>
        <w:jc w:val="left"/>
        <w:rPr>
          <w:kern w:val="0"/>
          <w:szCs w:val="21"/>
        </w:rPr>
      </w:pPr>
      <w:r>
        <w:rPr>
          <w:rFonts w:hint="eastAsia"/>
          <w:kern w:val="0"/>
          <w:szCs w:val="21"/>
        </w:rPr>
        <w:t>比选申请</w:t>
      </w:r>
      <w:r>
        <w:rPr>
          <w:color w:val="000000"/>
          <w:szCs w:val="21"/>
        </w:rPr>
        <w:t>保证金金额：</w:t>
      </w:r>
      <w:r>
        <w:rPr>
          <w:rFonts w:hint="eastAsia"/>
          <w:color w:val="000000"/>
          <w:szCs w:val="21"/>
        </w:rPr>
        <w:t>无</w:t>
      </w:r>
    </w:p>
    <w:p w14:paraId="73E99AC4">
      <w:pPr>
        <w:pStyle w:val="15"/>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八、比选申请文件的递交及相关事宜</w:t>
      </w:r>
    </w:p>
    <w:p w14:paraId="63E34B09">
      <w:pPr>
        <w:spacing w:line="360" w:lineRule="auto"/>
        <w:ind w:firstLine="420" w:firstLineChars="200"/>
        <w:rPr>
          <w:color w:val="000000"/>
          <w:kern w:val="0"/>
          <w:szCs w:val="21"/>
        </w:rPr>
      </w:pPr>
      <w:r>
        <w:rPr>
          <w:color w:val="000000"/>
          <w:kern w:val="0"/>
          <w:szCs w:val="21"/>
        </w:rPr>
        <w:t>1.</w:t>
      </w:r>
      <w:r>
        <w:rPr>
          <w:rFonts w:hint="eastAsia"/>
          <w:color w:val="000000"/>
          <w:kern w:val="0"/>
          <w:szCs w:val="21"/>
        </w:rPr>
        <w:t>比选申请</w:t>
      </w:r>
      <w:r>
        <w:rPr>
          <w:color w:val="000000"/>
          <w:kern w:val="0"/>
          <w:szCs w:val="21"/>
        </w:rPr>
        <w:t>文件递交截止时间为</w:t>
      </w:r>
      <w:r>
        <w:rPr>
          <w:rFonts w:hint="eastAsia"/>
          <w:color w:val="000000"/>
          <w:kern w:val="0"/>
          <w:szCs w:val="21"/>
          <w:lang w:eastAsia="zh-CN"/>
        </w:rPr>
        <w:t>2025年</w:t>
      </w:r>
      <w:r>
        <w:rPr>
          <w:rFonts w:hint="eastAsia"/>
          <w:color w:val="000000"/>
          <w:kern w:val="0"/>
          <w:szCs w:val="21"/>
          <w:lang w:val="en-US" w:eastAsia="zh-CN"/>
        </w:rPr>
        <w:t>6</w:t>
      </w:r>
      <w:r>
        <w:rPr>
          <w:color w:val="000000"/>
          <w:kern w:val="0"/>
          <w:szCs w:val="21"/>
        </w:rPr>
        <w:t>月</w:t>
      </w:r>
      <w:r>
        <w:rPr>
          <w:rFonts w:hint="eastAsia"/>
          <w:color w:val="000000"/>
          <w:kern w:val="0"/>
          <w:szCs w:val="21"/>
          <w:lang w:val="en-US" w:eastAsia="zh-CN"/>
        </w:rPr>
        <w:t>13</w:t>
      </w:r>
      <w:r>
        <w:rPr>
          <w:color w:val="000000"/>
          <w:kern w:val="0"/>
          <w:szCs w:val="21"/>
        </w:rPr>
        <w:t>日</w:t>
      </w:r>
      <w:r>
        <w:rPr>
          <w:rFonts w:hint="eastAsia"/>
          <w:color w:val="000000"/>
          <w:kern w:val="0"/>
          <w:szCs w:val="21"/>
          <w:lang w:val="en-US" w:eastAsia="zh-CN"/>
        </w:rPr>
        <w:t>9</w:t>
      </w:r>
      <w:r>
        <w:rPr>
          <w:color w:val="000000"/>
          <w:kern w:val="0"/>
          <w:szCs w:val="21"/>
        </w:rPr>
        <w:t>时</w:t>
      </w:r>
      <w:r>
        <w:rPr>
          <w:rFonts w:hint="eastAsia"/>
          <w:color w:val="000000"/>
          <w:kern w:val="0"/>
          <w:szCs w:val="21"/>
          <w:lang w:val="en-US" w:eastAsia="zh-CN"/>
        </w:rPr>
        <w:t>3</w:t>
      </w:r>
      <w:r>
        <w:rPr>
          <w:color w:val="000000"/>
          <w:kern w:val="0"/>
          <w:szCs w:val="21"/>
        </w:rPr>
        <w:t>0分(北京时间，下同)，</w:t>
      </w:r>
      <w:r>
        <w:rPr>
          <w:rFonts w:hint="eastAsia"/>
          <w:color w:val="000000"/>
          <w:kern w:val="0"/>
          <w:szCs w:val="21"/>
        </w:rPr>
        <w:t>比选申请</w:t>
      </w:r>
      <w:r>
        <w:rPr>
          <w:color w:val="000000"/>
          <w:kern w:val="0"/>
          <w:szCs w:val="21"/>
        </w:rPr>
        <w:t>人必须将按要求密封完好的</w:t>
      </w:r>
      <w:r>
        <w:rPr>
          <w:rFonts w:hint="eastAsia"/>
          <w:color w:val="000000"/>
          <w:kern w:val="0"/>
          <w:szCs w:val="21"/>
        </w:rPr>
        <w:t>比选申请</w:t>
      </w:r>
      <w:r>
        <w:rPr>
          <w:color w:val="000000"/>
          <w:kern w:val="0"/>
          <w:szCs w:val="21"/>
        </w:rPr>
        <w:t>文件送达至</w:t>
      </w:r>
      <w:r>
        <w:rPr>
          <w:rFonts w:hint="default" w:ascii="Times New Roman" w:hAnsi="Times New Roman" w:eastAsia="宋体" w:cs="Times New Roman"/>
          <w:b w:val="0"/>
          <w:bCs w:val="0"/>
          <w:color w:val="000000"/>
          <w:kern w:val="2"/>
          <w:sz w:val="21"/>
          <w:szCs w:val="21"/>
          <w:lang w:val="en-US" w:eastAsia="zh-CN" w:bidi="ar-SA"/>
        </w:rPr>
        <w:t>成都市高新区创业路1号剑恒发展中心商业楼2楼会议室（洽谈室二）</w:t>
      </w:r>
      <w:r>
        <w:rPr>
          <w:color w:val="000000"/>
          <w:kern w:val="0"/>
          <w:szCs w:val="21"/>
        </w:rPr>
        <w:t>。逾期送达的或者未送达至指定地点或未按照</w:t>
      </w:r>
      <w:r>
        <w:rPr>
          <w:rFonts w:hint="eastAsia"/>
          <w:color w:val="000000"/>
          <w:kern w:val="0"/>
          <w:szCs w:val="21"/>
        </w:rPr>
        <w:t>比选</w:t>
      </w:r>
      <w:r>
        <w:rPr>
          <w:color w:val="000000"/>
          <w:kern w:val="0"/>
          <w:szCs w:val="21"/>
        </w:rPr>
        <w:t>文件要求密封的</w:t>
      </w:r>
      <w:r>
        <w:rPr>
          <w:rFonts w:hint="eastAsia"/>
          <w:color w:val="000000"/>
          <w:kern w:val="0"/>
          <w:szCs w:val="21"/>
        </w:rPr>
        <w:t>比选申请</w:t>
      </w:r>
      <w:r>
        <w:rPr>
          <w:color w:val="000000"/>
          <w:kern w:val="0"/>
          <w:szCs w:val="21"/>
        </w:rPr>
        <w:t>文件，</w:t>
      </w:r>
      <w:r>
        <w:rPr>
          <w:rFonts w:hint="eastAsia"/>
          <w:color w:val="000000"/>
          <w:kern w:val="0"/>
          <w:szCs w:val="21"/>
        </w:rPr>
        <w:t>比选</w:t>
      </w:r>
      <w:r>
        <w:rPr>
          <w:color w:val="000000"/>
          <w:kern w:val="0"/>
          <w:szCs w:val="21"/>
        </w:rPr>
        <w:t>人将不予受理。</w:t>
      </w:r>
    </w:p>
    <w:p w14:paraId="21C27F99">
      <w:pPr>
        <w:spacing w:line="360" w:lineRule="auto"/>
        <w:ind w:firstLine="420" w:firstLineChars="200"/>
        <w:rPr>
          <w:color w:val="000000"/>
          <w:kern w:val="0"/>
          <w:szCs w:val="21"/>
        </w:rPr>
      </w:pPr>
      <w:r>
        <w:rPr>
          <w:color w:val="000000"/>
          <w:kern w:val="0"/>
          <w:szCs w:val="21"/>
        </w:rPr>
        <w:t>2.</w:t>
      </w:r>
      <w:r>
        <w:rPr>
          <w:rFonts w:hint="eastAsia"/>
          <w:color w:val="000000"/>
          <w:kern w:val="0"/>
          <w:szCs w:val="21"/>
        </w:rPr>
        <w:t>比选</w:t>
      </w:r>
      <w:r>
        <w:rPr>
          <w:color w:val="000000"/>
          <w:kern w:val="0"/>
          <w:szCs w:val="21"/>
        </w:rPr>
        <w:t>人定于</w:t>
      </w:r>
      <w:r>
        <w:rPr>
          <w:rFonts w:hint="eastAsia"/>
          <w:color w:val="000000"/>
          <w:kern w:val="0"/>
          <w:szCs w:val="21"/>
        </w:rPr>
        <w:t>比选申请</w:t>
      </w:r>
      <w:r>
        <w:rPr>
          <w:color w:val="000000"/>
          <w:kern w:val="0"/>
          <w:szCs w:val="21"/>
        </w:rPr>
        <w:t>文件递交截止时间的同一时间、同一地点举行现场开标。</w:t>
      </w:r>
    </w:p>
    <w:p w14:paraId="3DA5D691">
      <w:pPr>
        <w:widowControl/>
        <w:spacing w:line="360" w:lineRule="auto"/>
        <w:ind w:firstLine="420" w:firstLineChars="200"/>
        <w:rPr>
          <w:color w:val="000000"/>
          <w:kern w:val="0"/>
          <w:szCs w:val="21"/>
        </w:rPr>
      </w:pPr>
      <w:r>
        <w:rPr>
          <w:color w:val="000000"/>
          <w:kern w:val="0"/>
          <w:szCs w:val="21"/>
        </w:rPr>
        <w:t>3.</w:t>
      </w:r>
      <w:r>
        <w:rPr>
          <w:rFonts w:hint="eastAsia"/>
          <w:color w:val="000000"/>
          <w:kern w:val="0"/>
          <w:szCs w:val="21"/>
        </w:rPr>
        <w:t>比选申请</w:t>
      </w:r>
      <w:r>
        <w:rPr>
          <w:color w:val="000000"/>
          <w:kern w:val="0"/>
          <w:szCs w:val="21"/>
        </w:rPr>
        <w:t>人如未参加开标的将视为默认开标结果。</w:t>
      </w:r>
    </w:p>
    <w:p w14:paraId="1E25452E">
      <w:pPr>
        <w:pStyle w:val="15"/>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九、发布公告的媒介</w:t>
      </w:r>
    </w:p>
    <w:p w14:paraId="16DBBAA6">
      <w:pPr>
        <w:widowControl/>
        <w:shd w:val="clear" w:color="auto" w:fill="auto"/>
        <w:spacing w:line="360" w:lineRule="auto"/>
        <w:ind w:firstLine="420" w:firstLineChars="200"/>
        <w:jc w:val="left"/>
        <w:rPr>
          <w:rFonts w:hint="default" w:ascii="Times New Roman" w:hAnsi="Times New Roman" w:cs="Times New Roman"/>
          <w:color w:val="000000"/>
          <w:kern w:val="0"/>
          <w:szCs w:val="21"/>
          <w:u w:val="none"/>
        </w:rPr>
      </w:pPr>
      <w:bookmarkStart w:id="5" w:name="OLE_LINK2"/>
      <w:r>
        <w:rPr>
          <w:rFonts w:hint="default" w:ascii="Times New Roman" w:hAnsi="Times New Roman" w:cs="Times New Roman"/>
          <w:color w:val="000000"/>
          <w:kern w:val="0"/>
          <w:sz w:val="21"/>
          <w:szCs w:val="21"/>
          <w:u w:val="none"/>
        </w:rPr>
        <w:t>本次比选公告和相关公示在四川蜀道新能源科技发展有限公司网站（http://www.sdxnykj.cn/）上发布。</w:t>
      </w:r>
    </w:p>
    <w:bookmarkEnd w:id="5"/>
    <w:p w14:paraId="069429FB">
      <w:pPr>
        <w:pStyle w:val="15"/>
        <w:snapToGrid w:val="0"/>
        <w:spacing w:line="360" w:lineRule="auto"/>
        <w:ind w:firstLine="482" w:firstLineChars="200"/>
        <w:outlineLvl w:val="1"/>
        <w:rPr>
          <w:rFonts w:hint="eastAsia" w:ascii="黑体" w:hAnsi="宋体" w:eastAsia="黑体" w:cs="黑体"/>
          <w:b/>
          <w:bCs/>
          <w:color w:val="000000"/>
          <w:kern w:val="0"/>
          <w:sz w:val="24"/>
          <w:szCs w:val="24"/>
        </w:rPr>
      </w:pPr>
      <w:r>
        <w:rPr>
          <w:rFonts w:hint="eastAsia" w:ascii="黑体" w:hAnsi="宋体" w:eastAsia="黑体" w:cs="黑体"/>
          <w:b/>
          <w:bCs/>
          <w:kern w:val="0"/>
          <w:sz w:val="24"/>
          <w:szCs w:val="24"/>
        </w:rPr>
        <w:t>十、</w:t>
      </w:r>
      <w:r>
        <w:rPr>
          <w:rFonts w:hint="eastAsia" w:ascii="黑体" w:hAnsi="宋体" w:eastAsia="黑体" w:cs="黑体"/>
          <w:b/>
          <w:bCs/>
          <w:color w:val="000000"/>
          <w:kern w:val="0"/>
          <w:sz w:val="24"/>
          <w:szCs w:val="24"/>
        </w:rPr>
        <w:t>联系方式</w:t>
      </w:r>
    </w:p>
    <w:p w14:paraId="7D1B3415">
      <w:pPr>
        <w:spacing w:line="360" w:lineRule="auto"/>
        <w:ind w:right="480" w:firstLine="420" w:firstLineChars="200"/>
        <w:rPr>
          <w:color w:val="000000"/>
          <w:szCs w:val="21"/>
        </w:rPr>
      </w:pPr>
      <w:r>
        <w:rPr>
          <w:rFonts w:hint="eastAsia"/>
          <w:color w:val="000000"/>
          <w:szCs w:val="21"/>
        </w:rPr>
        <w:t>比选人</w:t>
      </w:r>
      <w:r>
        <w:rPr>
          <w:color w:val="000000"/>
          <w:szCs w:val="21"/>
        </w:rPr>
        <w:t>：四川蜀道新能源科技发展有限公司</w:t>
      </w:r>
    </w:p>
    <w:p w14:paraId="17AA08C9">
      <w:pPr>
        <w:spacing w:line="360" w:lineRule="auto"/>
        <w:ind w:right="480" w:firstLine="420" w:firstLineChars="200"/>
        <w:rPr>
          <w:rFonts w:hint="eastAsia" w:eastAsia="宋体"/>
          <w:color w:val="000000"/>
          <w:szCs w:val="21"/>
          <w:lang w:eastAsia="zh-CN"/>
        </w:rPr>
      </w:pPr>
      <w:r>
        <w:rPr>
          <w:color w:val="000000"/>
          <w:szCs w:val="21"/>
        </w:rPr>
        <w:t>地  址：</w:t>
      </w:r>
      <w:r>
        <w:rPr>
          <w:rFonts w:hint="eastAsia"/>
          <w:color w:val="000000"/>
          <w:kern w:val="0"/>
          <w:szCs w:val="21"/>
          <w:lang w:eastAsia="zh-CN"/>
        </w:rPr>
        <w:t>成都市高新区创业路1号剑恒发展中心商业楼2楼</w:t>
      </w:r>
    </w:p>
    <w:p w14:paraId="711FC3EF">
      <w:pPr>
        <w:spacing w:line="360" w:lineRule="auto"/>
        <w:ind w:right="480" w:firstLine="420" w:firstLineChars="200"/>
        <w:rPr>
          <w:rFonts w:hint="eastAsia" w:eastAsia="宋体"/>
          <w:color w:val="000000"/>
          <w:szCs w:val="21"/>
          <w:lang w:eastAsia="zh-CN"/>
        </w:rPr>
      </w:pPr>
      <w:r>
        <w:rPr>
          <w:color w:val="000000"/>
          <w:szCs w:val="21"/>
        </w:rPr>
        <w:t>联系人：</w:t>
      </w:r>
      <w:r>
        <w:rPr>
          <w:rFonts w:hint="eastAsia"/>
          <w:color w:val="000000"/>
          <w:szCs w:val="21"/>
          <w:lang w:eastAsia="zh-CN"/>
        </w:rPr>
        <w:t>青女士</w:t>
      </w:r>
    </w:p>
    <w:p w14:paraId="6AAC9B83">
      <w:pPr>
        <w:widowControl/>
        <w:spacing w:line="360" w:lineRule="auto"/>
        <w:ind w:firstLine="420" w:firstLineChars="200"/>
        <w:rPr>
          <w:rFonts w:hint="eastAsia" w:ascii="宋体" w:hAnsi="宋体"/>
          <w:kern w:val="0"/>
          <w:szCs w:val="21"/>
        </w:rPr>
      </w:pPr>
      <w:r>
        <w:rPr>
          <w:color w:val="000000"/>
          <w:szCs w:val="21"/>
        </w:rPr>
        <w:t>电  话</w:t>
      </w:r>
      <w:r>
        <w:rPr>
          <w:rFonts w:hint="eastAsia"/>
          <w:color w:val="000000"/>
          <w:szCs w:val="21"/>
        </w:rPr>
        <w:t>：028-63911700</w:t>
      </w:r>
    </w:p>
    <w:p w14:paraId="7AD6DBCF">
      <w:pPr>
        <w:spacing w:line="360" w:lineRule="auto"/>
        <w:ind w:right="480" w:firstLine="420" w:firstLineChars="200"/>
        <w:rPr>
          <w:rFonts w:hint="eastAsia" w:ascii="宋体" w:hAnsi="宋体"/>
          <w:kern w:val="0"/>
          <w:szCs w:val="21"/>
        </w:rPr>
      </w:pPr>
      <w:r>
        <w:rPr>
          <w:rFonts w:hint="eastAsia" w:ascii="宋体" w:hAnsi="宋体"/>
          <w:kern w:val="0"/>
          <w:szCs w:val="21"/>
        </w:rPr>
        <w:t>监督机构：四川蜀道新能源科技发展有限公司招标工作领导小组</w:t>
      </w:r>
    </w:p>
    <w:p w14:paraId="1FBB91A2">
      <w:pPr>
        <w:spacing w:line="360" w:lineRule="auto"/>
        <w:ind w:right="480" w:firstLine="420" w:firstLineChars="200"/>
        <w:rPr>
          <w:color w:val="000000"/>
          <w:szCs w:val="21"/>
        </w:rPr>
      </w:pPr>
      <w:r>
        <w:rPr>
          <w:rFonts w:hint="eastAsia" w:ascii="宋体" w:hAnsi="宋体"/>
          <w:kern w:val="0"/>
          <w:szCs w:val="21"/>
        </w:rPr>
        <w:t>监督电话：</w:t>
      </w:r>
      <w:r>
        <w:rPr>
          <w:rFonts w:hint="eastAsia"/>
          <w:color w:val="000000"/>
          <w:szCs w:val="21"/>
        </w:rPr>
        <w:t>028-63915679</w:t>
      </w:r>
    </w:p>
    <w:p w14:paraId="79CEAA06">
      <w:pPr>
        <w:pStyle w:val="42"/>
        <w:ind w:firstLine="0" w:firstLineChars="0"/>
      </w:pPr>
    </w:p>
    <w:p w14:paraId="085D8E89">
      <w:pPr>
        <w:tabs>
          <w:tab w:val="left" w:pos="5220"/>
          <w:tab w:val="left" w:pos="5400"/>
          <w:tab w:val="left" w:pos="5580"/>
        </w:tabs>
        <w:autoSpaceDE w:val="0"/>
        <w:autoSpaceDN w:val="0"/>
        <w:adjustRightInd w:val="0"/>
        <w:spacing w:line="360" w:lineRule="auto"/>
        <w:jc w:val="right"/>
        <w:rPr>
          <w:szCs w:val="21"/>
        </w:rPr>
      </w:pPr>
      <w:r>
        <w:rPr>
          <w:rFonts w:hint="eastAsia"/>
          <w:szCs w:val="21"/>
        </w:rPr>
        <w:t>比选人</w:t>
      </w:r>
      <w:r>
        <w:rPr>
          <w:szCs w:val="21"/>
        </w:rPr>
        <w:t>：四川蜀道新能源科技发展有限公司</w:t>
      </w:r>
    </w:p>
    <w:p w14:paraId="0831D60B">
      <w:pPr>
        <w:tabs>
          <w:tab w:val="left" w:pos="5220"/>
          <w:tab w:val="left" w:pos="5400"/>
          <w:tab w:val="left" w:pos="5580"/>
        </w:tabs>
        <w:autoSpaceDE w:val="0"/>
        <w:autoSpaceDN w:val="0"/>
        <w:adjustRightInd w:val="0"/>
        <w:jc w:val="right"/>
        <w:rPr>
          <w:sz w:val="36"/>
          <w:szCs w:val="36"/>
        </w:rPr>
      </w:pPr>
      <w:r>
        <w:rPr>
          <w:szCs w:val="21"/>
        </w:rPr>
        <w:t xml:space="preserve">     </w:t>
      </w:r>
      <w:r>
        <w:rPr>
          <w:rFonts w:hint="eastAsia"/>
          <w:szCs w:val="21"/>
        </w:rPr>
        <w:t xml:space="preserve"> 202</w:t>
      </w:r>
      <w:r>
        <w:rPr>
          <w:rFonts w:hint="eastAsia"/>
          <w:szCs w:val="21"/>
          <w:lang w:val="en-US" w:eastAsia="zh-CN"/>
        </w:rPr>
        <w:t>5</w:t>
      </w:r>
      <w:r>
        <w:rPr>
          <w:szCs w:val="21"/>
        </w:rPr>
        <w:t>年</w:t>
      </w:r>
      <w:r>
        <w:rPr>
          <w:rFonts w:hint="eastAsia"/>
          <w:szCs w:val="21"/>
          <w:lang w:val="en-US" w:eastAsia="zh-CN"/>
        </w:rPr>
        <w:t>6</w:t>
      </w:r>
      <w:r>
        <w:rPr>
          <w:szCs w:val="21"/>
        </w:rPr>
        <w:t>月</w:t>
      </w:r>
      <w:r>
        <w:rPr>
          <w:rFonts w:hint="eastAsia"/>
          <w:szCs w:val="21"/>
          <w:lang w:val="en-US" w:eastAsia="zh-CN"/>
        </w:rPr>
        <w:t>6</w:t>
      </w:r>
      <w:r>
        <w:rPr>
          <w:szCs w:val="21"/>
        </w:rPr>
        <w:t>日</w:t>
      </w:r>
    </w:p>
    <w:p w14:paraId="7AED2747">
      <w:pPr>
        <w:spacing w:line="360" w:lineRule="auto"/>
      </w:pPr>
    </w:p>
    <w:p w14:paraId="7708D357">
      <w:pPr>
        <w:spacing w:line="320" w:lineRule="exact"/>
      </w:pPr>
    </w:p>
    <w:p w14:paraId="28A096E2"/>
    <w:p w14:paraId="33C933B2"/>
    <w:p w14:paraId="48D0F41A"/>
    <w:p w14:paraId="13316B61"/>
    <w:p w14:paraId="69F12B39"/>
    <w:p w14:paraId="64141261"/>
    <w:p w14:paraId="711209EC"/>
    <w:p w14:paraId="5C139825"/>
    <w:p w14:paraId="76C0B58E">
      <w:pPr>
        <w:pStyle w:val="15"/>
        <w:spacing w:line="800" w:lineRule="exact"/>
        <w:jc w:val="center"/>
        <w:rPr>
          <w:rFonts w:hint="eastAsia" w:hAnsi="宋体"/>
          <w:b/>
          <w:spacing w:val="20"/>
          <w:w w:val="80"/>
          <w:sz w:val="44"/>
          <w:szCs w:val="44"/>
        </w:rPr>
      </w:pPr>
    </w:p>
    <w:p w14:paraId="5A01FAED">
      <w:pPr>
        <w:pStyle w:val="15"/>
        <w:spacing w:line="800" w:lineRule="exact"/>
        <w:jc w:val="center"/>
        <w:rPr>
          <w:rFonts w:hint="eastAsia" w:hAnsi="宋体"/>
          <w:b/>
          <w:spacing w:val="20"/>
          <w:w w:val="80"/>
          <w:sz w:val="44"/>
          <w:szCs w:val="44"/>
        </w:rPr>
      </w:pPr>
    </w:p>
    <w:p w14:paraId="19043722">
      <w:pPr>
        <w:pStyle w:val="15"/>
        <w:spacing w:line="800" w:lineRule="exact"/>
        <w:jc w:val="center"/>
        <w:rPr>
          <w:rFonts w:hint="eastAsia" w:hAnsi="宋体"/>
          <w:b/>
          <w:spacing w:val="20"/>
          <w:w w:val="80"/>
          <w:sz w:val="44"/>
          <w:szCs w:val="44"/>
        </w:rPr>
      </w:pPr>
    </w:p>
    <w:p w14:paraId="51C3CF71">
      <w:pPr>
        <w:pStyle w:val="15"/>
        <w:spacing w:line="800" w:lineRule="exact"/>
        <w:jc w:val="center"/>
        <w:rPr>
          <w:rFonts w:hint="eastAsia" w:hAnsi="宋体"/>
          <w:b/>
          <w:spacing w:val="20"/>
          <w:w w:val="80"/>
          <w:sz w:val="44"/>
          <w:szCs w:val="44"/>
        </w:rPr>
      </w:pPr>
    </w:p>
    <w:p w14:paraId="5FFA15D0">
      <w:pPr>
        <w:pStyle w:val="15"/>
        <w:spacing w:line="800" w:lineRule="exact"/>
        <w:jc w:val="center"/>
        <w:rPr>
          <w:rFonts w:hint="eastAsia" w:hAnsi="宋体"/>
          <w:b/>
          <w:spacing w:val="20"/>
          <w:w w:val="80"/>
          <w:sz w:val="44"/>
          <w:szCs w:val="44"/>
        </w:rPr>
      </w:pPr>
    </w:p>
    <w:p w14:paraId="1823BEC2">
      <w:pPr>
        <w:pStyle w:val="15"/>
        <w:spacing w:line="800" w:lineRule="exact"/>
        <w:jc w:val="center"/>
        <w:rPr>
          <w:rFonts w:hint="eastAsia" w:hAnsi="宋体"/>
          <w:b/>
          <w:spacing w:val="20"/>
          <w:w w:val="80"/>
          <w:sz w:val="44"/>
          <w:szCs w:val="44"/>
        </w:rPr>
      </w:pPr>
    </w:p>
    <w:p w14:paraId="2E59C50F">
      <w:pPr>
        <w:pStyle w:val="15"/>
        <w:spacing w:line="800" w:lineRule="exact"/>
        <w:jc w:val="center"/>
        <w:rPr>
          <w:rFonts w:hint="eastAsia" w:hAnsi="宋体"/>
          <w:b/>
          <w:spacing w:val="20"/>
          <w:w w:val="80"/>
          <w:sz w:val="44"/>
          <w:szCs w:val="44"/>
        </w:rPr>
      </w:pPr>
    </w:p>
    <w:p w14:paraId="529D24DD">
      <w:pPr>
        <w:pStyle w:val="5"/>
        <w:keepLines/>
        <w:spacing w:line="360" w:lineRule="auto"/>
        <w:jc w:val="center"/>
        <w:rPr>
          <w:rFonts w:eastAsia="黑体"/>
          <w:b/>
          <w:sz w:val="28"/>
          <w:szCs w:val="28"/>
        </w:rPr>
      </w:pPr>
      <w:bookmarkStart w:id="6" w:name="_Toc14298"/>
      <w:bookmarkStart w:id="7" w:name="_Toc19890"/>
      <w:bookmarkStart w:id="8" w:name="_Toc14015"/>
      <w:bookmarkStart w:id="9" w:name="_Toc496657997"/>
      <w:bookmarkStart w:id="10" w:name="_Toc188260934"/>
      <w:bookmarkStart w:id="11" w:name="_Toc16635"/>
      <w:bookmarkStart w:id="12" w:name="_Toc22342"/>
      <w:r>
        <w:rPr>
          <w:rFonts w:hint="eastAsia" w:ascii="宋体" w:hAnsi="宋体"/>
          <w:b/>
          <w:bCs/>
          <w:kern w:val="44"/>
          <w:sz w:val="44"/>
          <w:szCs w:val="44"/>
          <w:u w:val="none"/>
        </w:rPr>
        <w:t>第二章</w:t>
      </w:r>
      <w:r>
        <w:rPr>
          <w:rFonts w:hint="eastAsia" w:ascii="宋体" w:hAnsi="宋体"/>
          <w:b/>
          <w:bCs/>
          <w:kern w:val="44"/>
          <w:sz w:val="44"/>
          <w:szCs w:val="44"/>
          <w:u w:val="none"/>
          <w:lang w:val="en-US" w:eastAsia="zh-CN"/>
        </w:rPr>
        <w:t xml:space="preserve"> </w:t>
      </w:r>
      <w:r>
        <w:rPr>
          <w:rFonts w:hint="eastAsia" w:ascii="宋体" w:hAnsi="宋体"/>
          <w:b/>
          <w:bCs/>
          <w:kern w:val="44"/>
          <w:sz w:val="44"/>
          <w:szCs w:val="44"/>
          <w:u w:val="none"/>
        </w:rPr>
        <w:t>比选申请人须知</w:t>
      </w:r>
      <w:bookmarkEnd w:id="6"/>
      <w:bookmarkEnd w:id="7"/>
      <w:bookmarkEnd w:id="8"/>
      <w:bookmarkEnd w:id="9"/>
      <w:bookmarkEnd w:id="10"/>
      <w:bookmarkEnd w:id="11"/>
      <w:bookmarkEnd w:id="12"/>
    </w:p>
    <w:p w14:paraId="719C0F7E">
      <w:pPr>
        <w:pStyle w:val="15"/>
        <w:widowControl/>
        <w:snapToGrid w:val="0"/>
        <w:spacing w:line="240" w:lineRule="auto"/>
        <w:ind w:firstLine="562" w:firstLineChars="200"/>
        <w:jc w:val="center"/>
        <w:outlineLvl w:val="1"/>
        <w:rPr>
          <w:rFonts w:hint="eastAsia" w:ascii="黑体" w:hAnsi="宋体" w:eastAsia="黑体" w:cs="黑体"/>
          <w:b/>
          <w:bCs/>
          <w:kern w:val="0"/>
          <w:sz w:val="28"/>
          <w:szCs w:val="28"/>
        </w:rPr>
      </w:pPr>
      <w:r>
        <w:rPr>
          <w:rFonts w:hint="eastAsia" w:ascii="黑体" w:hAnsi="宋体" w:eastAsia="黑体" w:cs="黑体"/>
          <w:b/>
          <w:bCs/>
          <w:kern w:val="0"/>
          <w:sz w:val="28"/>
          <w:szCs w:val="28"/>
        </w:rPr>
        <w:t>比选申请人须知前附表</w:t>
      </w:r>
    </w:p>
    <w:p w14:paraId="0B0B537B">
      <w:pPr>
        <w:spacing w:line="360" w:lineRule="exact"/>
        <w:ind w:firstLine="480" w:firstLineChars="200"/>
        <w:rPr>
          <w:rFonts w:eastAsia="仿宋"/>
          <w:sz w:val="24"/>
        </w:rPr>
      </w:pPr>
      <w:r>
        <w:rPr>
          <w:rFonts w:hint="eastAsia" w:eastAsia="仿宋"/>
          <w:sz w:val="24"/>
        </w:rPr>
        <w:t>《比选申请人须知前附表》是用于进一步明确《比选申请人须知》正文中的未尽事宜，由比选人根据本项目具体特点和实际需要编制和填写，与《比选申请人须知》正文无抵触且与比选文件其他章节相衔接。前附表内容与须知不一致的，以前附表内容为准。</w:t>
      </w:r>
    </w:p>
    <w:p w14:paraId="4C8E4F27">
      <w:pPr>
        <w:pStyle w:val="15"/>
        <w:rPr>
          <w:rFonts w:ascii="Times New Roman" w:hAnsi="Times New Roman" w:eastAsia="黑体"/>
          <w:b/>
          <w:sz w:val="28"/>
          <w:szCs w:val="28"/>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153"/>
        <w:gridCol w:w="6212"/>
      </w:tblGrid>
      <w:tr w14:paraId="03D0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0" w:type="dxa"/>
            <w:vAlign w:val="center"/>
          </w:tcPr>
          <w:p w14:paraId="0A7F7139">
            <w:pPr>
              <w:pStyle w:val="15"/>
              <w:spacing w:line="340" w:lineRule="exact"/>
              <w:jc w:val="center"/>
              <w:rPr>
                <w:rFonts w:hint="eastAsia" w:hAnsi="宋体"/>
                <w:b/>
              </w:rPr>
            </w:pPr>
            <w:r>
              <w:rPr>
                <w:rFonts w:hint="eastAsia" w:hAnsi="宋体"/>
                <w:b/>
              </w:rPr>
              <w:t>条款号</w:t>
            </w:r>
          </w:p>
        </w:tc>
        <w:tc>
          <w:tcPr>
            <w:tcW w:w="2153" w:type="dxa"/>
            <w:vAlign w:val="center"/>
          </w:tcPr>
          <w:p w14:paraId="56275A51">
            <w:pPr>
              <w:pStyle w:val="15"/>
              <w:spacing w:line="340" w:lineRule="exact"/>
              <w:jc w:val="center"/>
              <w:rPr>
                <w:rFonts w:hint="eastAsia" w:hAnsi="宋体"/>
                <w:b/>
              </w:rPr>
            </w:pPr>
            <w:r>
              <w:rPr>
                <w:rFonts w:hint="eastAsia" w:hAnsi="宋体"/>
                <w:b/>
              </w:rPr>
              <w:t>条款名称</w:t>
            </w:r>
          </w:p>
        </w:tc>
        <w:tc>
          <w:tcPr>
            <w:tcW w:w="6212" w:type="dxa"/>
            <w:vAlign w:val="center"/>
          </w:tcPr>
          <w:p w14:paraId="3EC0C19F">
            <w:pPr>
              <w:pStyle w:val="15"/>
              <w:spacing w:line="340" w:lineRule="exact"/>
              <w:jc w:val="center"/>
              <w:rPr>
                <w:rFonts w:hint="eastAsia" w:hAnsi="宋体"/>
                <w:b/>
              </w:rPr>
            </w:pPr>
            <w:r>
              <w:rPr>
                <w:rFonts w:hint="eastAsia" w:hAnsi="宋体"/>
                <w:b/>
              </w:rPr>
              <w:t>编列内容</w:t>
            </w:r>
          </w:p>
        </w:tc>
      </w:tr>
      <w:tr w14:paraId="7B47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vAlign w:val="center"/>
          </w:tcPr>
          <w:p w14:paraId="7DA2B479">
            <w:pPr>
              <w:pStyle w:val="15"/>
              <w:spacing w:line="340" w:lineRule="exact"/>
              <w:jc w:val="center"/>
              <w:rPr>
                <w:rFonts w:hint="eastAsia" w:hAnsi="宋体"/>
              </w:rPr>
            </w:pPr>
            <w:r>
              <w:rPr>
                <w:rFonts w:hint="eastAsia" w:hAnsi="宋体"/>
              </w:rPr>
              <w:t>1</w:t>
            </w:r>
          </w:p>
        </w:tc>
        <w:tc>
          <w:tcPr>
            <w:tcW w:w="2153" w:type="dxa"/>
            <w:vAlign w:val="center"/>
          </w:tcPr>
          <w:p w14:paraId="65F2899B">
            <w:pPr>
              <w:pStyle w:val="15"/>
              <w:spacing w:line="340" w:lineRule="exact"/>
              <w:jc w:val="center"/>
              <w:rPr>
                <w:rFonts w:hint="eastAsia" w:hAnsi="宋体"/>
              </w:rPr>
            </w:pPr>
            <w:r>
              <w:rPr>
                <w:rFonts w:hint="eastAsia" w:hAnsi="宋体"/>
              </w:rPr>
              <w:t>比选人</w:t>
            </w:r>
          </w:p>
        </w:tc>
        <w:tc>
          <w:tcPr>
            <w:tcW w:w="6212" w:type="dxa"/>
            <w:vAlign w:val="center"/>
          </w:tcPr>
          <w:p w14:paraId="2495DEB2">
            <w:pPr>
              <w:spacing w:line="360" w:lineRule="auto"/>
              <w:rPr>
                <w:szCs w:val="21"/>
              </w:rPr>
            </w:pPr>
            <w:r>
              <w:rPr>
                <w:rFonts w:hint="eastAsia" w:ascii="宋体" w:hAnsi="宋体"/>
                <w:szCs w:val="21"/>
              </w:rPr>
              <w:t>比 选人：四川蜀道新能源科技发展有限公司</w:t>
            </w:r>
          </w:p>
          <w:p w14:paraId="248D0EE9">
            <w:pPr>
              <w:spacing w:line="360" w:lineRule="auto"/>
              <w:rPr>
                <w:rFonts w:hint="eastAsia" w:ascii="宋体" w:eastAsia="宋体"/>
                <w:szCs w:val="21"/>
                <w:u w:val="single"/>
                <w:lang w:eastAsia="zh-CN"/>
              </w:rPr>
            </w:pPr>
            <w:r>
              <w:rPr>
                <w:rFonts w:hint="eastAsia" w:ascii="宋体" w:hAnsi="宋体"/>
                <w:szCs w:val="21"/>
              </w:rPr>
              <w:t>地址：</w:t>
            </w:r>
            <w:r>
              <w:rPr>
                <w:rFonts w:hint="eastAsia" w:ascii="宋体" w:hAnsi="宋体"/>
                <w:szCs w:val="21"/>
                <w:lang w:eastAsia="zh-CN"/>
              </w:rPr>
              <w:t>成都市高新区创业路1号剑恒发展中心商业楼2楼</w:t>
            </w:r>
          </w:p>
          <w:p w14:paraId="5281B59E">
            <w:pPr>
              <w:spacing w:line="360" w:lineRule="auto"/>
              <w:rPr>
                <w:rFonts w:hint="eastAsia" w:ascii="宋体" w:hAnsi="宋体"/>
                <w:szCs w:val="21"/>
                <w:u w:val="single"/>
              </w:rPr>
            </w:pPr>
            <w:r>
              <w:rPr>
                <w:rFonts w:hint="eastAsia" w:ascii="宋体" w:hAnsi="宋体"/>
                <w:szCs w:val="21"/>
              </w:rPr>
              <w:t>电话：</w:t>
            </w:r>
            <w:r>
              <w:rPr>
                <w:rFonts w:hint="eastAsia"/>
                <w:kern w:val="0"/>
                <w:szCs w:val="21"/>
                <w:lang w:bidi="ar"/>
              </w:rPr>
              <w:t>028-63911700</w:t>
            </w:r>
          </w:p>
          <w:p w14:paraId="55215859">
            <w:pPr>
              <w:spacing w:line="360" w:lineRule="auto"/>
              <w:rPr>
                <w:rFonts w:hint="eastAsia" w:ascii="宋体" w:eastAsia="宋体"/>
                <w:szCs w:val="21"/>
                <w:lang w:eastAsia="zh-CN"/>
              </w:rPr>
            </w:pPr>
            <w:r>
              <w:rPr>
                <w:rFonts w:hint="eastAsia" w:ascii="宋体" w:hAnsi="宋体"/>
                <w:szCs w:val="21"/>
              </w:rPr>
              <w:t>联系人：</w:t>
            </w:r>
            <w:r>
              <w:rPr>
                <w:rFonts w:hint="eastAsia" w:ascii="宋体" w:hAnsi="宋体"/>
                <w:szCs w:val="21"/>
                <w:lang w:eastAsia="zh-CN"/>
              </w:rPr>
              <w:t>青女士</w:t>
            </w:r>
          </w:p>
        </w:tc>
      </w:tr>
      <w:tr w14:paraId="0293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72F13C42">
            <w:pPr>
              <w:pStyle w:val="15"/>
              <w:spacing w:line="340" w:lineRule="exact"/>
              <w:jc w:val="center"/>
              <w:rPr>
                <w:rFonts w:hint="eastAsia" w:hAnsi="宋体"/>
              </w:rPr>
            </w:pPr>
            <w:r>
              <w:rPr>
                <w:rFonts w:hint="eastAsia" w:hAnsi="宋体"/>
              </w:rPr>
              <w:t>2</w:t>
            </w:r>
          </w:p>
        </w:tc>
        <w:tc>
          <w:tcPr>
            <w:tcW w:w="2153" w:type="dxa"/>
            <w:vAlign w:val="center"/>
          </w:tcPr>
          <w:p w14:paraId="2BA1A863">
            <w:pPr>
              <w:pStyle w:val="15"/>
              <w:spacing w:line="340" w:lineRule="exact"/>
              <w:jc w:val="center"/>
              <w:rPr>
                <w:rFonts w:hint="eastAsia" w:hAnsi="宋体"/>
              </w:rPr>
            </w:pPr>
            <w:r>
              <w:rPr>
                <w:rFonts w:hint="eastAsia" w:hAnsi="宋体"/>
              </w:rPr>
              <w:t>项目名称</w:t>
            </w:r>
          </w:p>
        </w:tc>
        <w:tc>
          <w:tcPr>
            <w:tcW w:w="6212" w:type="dxa"/>
            <w:vAlign w:val="center"/>
          </w:tcPr>
          <w:p w14:paraId="73C5B3E8">
            <w:pPr>
              <w:pStyle w:val="15"/>
              <w:spacing w:line="340" w:lineRule="exact"/>
              <w:jc w:val="left"/>
              <w:rPr>
                <w:rFonts w:hint="eastAsia" w:hAnsi="宋体" w:eastAsia="宋体"/>
                <w:lang w:eastAsia="zh-CN"/>
              </w:rPr>
            </w:pPr>
            <w:r>
              <w:rPr>
                <w:rFonts w:hint="eastAsia" w:ascii="Times New Roman" w:hAnsi="Times New Roman"/>
                <w:kern w:val="0"/>
                <w:lang w:eastAsia="zh-CN"/>
              </w:rPr>
              <w:t>绵九高速柴门关服务区充电站新建项目充电设备采购</w:t>
            </w:r>
          </w:p>
        </w:tc>
      </w:tr>
      <w:tr w14:paraId="4FAE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77297173">
            <w:pPr>
              <w:pStyle w:val="15"/>
              <w:spacing w:line="340" w:lineRule="exact"/>
              <w:jc w:val="center"/>
              <w:rPr>
                <w:rFonts w:hint="eastAsia" w:hAnsi="宋体"/>
              </w:rPr>
            </w:pPr>
            <w:r>
              <w:rPr>
                <w:rFonts w:hint="eastAsia" w:hAnsi="宋体"/>
              </w:rPr>
              <w:t>3</w:t>
            </w:r>
          </w:p>
        </w:tc>
        <w:tc>
          <w:tcPr>
            <w:tcW w:w="2153" w:type="dxa"/>
            <w:vAlign w:val="center"/>
          </w:tcPr>
          <w:p w14:paraId="0BF237D4">
            <w:pPr>
              <w:pStyle w:val="15"/>
              <w:spacing w:line="340" w:lineRule="exact"/>
              <w:jc w:val="center"/>
              <w:rPr>
                <w:rFonts w:hint="eastAsia" w:hAnsi="宋体"/>
              </w:rPr>
            </w:pPr>
            <w:r>
              <w:rPr>
                <w:rFonts w:hint="eastAsia"/>
                <w:kern w:val="0"/>
              </w:rPr>
              <w:t>交货地点</w:t>
            </w:r>
          </w:p>
        </w:tc>
        <w:tc>
          <w:tcPr>
            <w:tcW w:w="6212" w:type="dxa"/>
            <w:vAlign w:val="center"/>
          </w:tcPr>
          <w:p w14:paraId="66546B8C">
            <w:pPr>
              <w:tabs>
                <w:tab w:val="left" w:pos="5220"/>
                <w:tab w:val="left" w:pos="5400"/>
                <w:tab w:val="left" w:pos="5580"/>
              </w:tabs>
              <w:autoSpaceDE w:val="0"/>
              <w:autoSpaceDN w:val="0"/>
              <w:spacing w:line="360" w:lineRule="auto"/>
              <w:jc w:val="left"/>
              <w:rPr>
                <w:rFonts w:hint="eastAsia" w:hAnsi="宋体"/>
              </w:rPr>
            </w:pPr>
            <w:r>
              <w:rPr>
                <w:rFonts w:hint="eastAsia" w:hAnsi="宋体"/>
              </w:rPr>
              <w:t>见比选公告</w:t>
            </w:r>
            <w:r>
              <w:rPr>
                <w:rFonts w:hint="eastAsia" w:hAnsi="宋体"/>
                <w:bCs/>
                <w:kern w:val="44"/>
                <w:szCs w:val="44"/>
              </w:rPr>
              <w:t>。</w:t>
            </w:r>
          </w:p>
        </w:tc>
      </w:tr>
      <w:tr w14:paraId="21AD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7F416864">
            <w:pPr>
              <w:pStyle w:val="15"/>
              <w:spacing w:line="340" w:lineRule="exact"/>
              <w:jc w:val="center"/>
              <w:rPr>
                <w:rFonts w:hint="eastAsia" w:hAnsi="宋体"/>
              </w:rPr>
            </w:pPr>
            <w:r>
              <w:rPr>
                <w:rFonts w:hint="eastAsia" w:hAnsi="宋体"/>
              </w:rPr>
              <w:t>4</w:t>
            </w:r>
          </w:p>
        </w:tc>
        <w:tc>
          <w:tcPr>
            <w:tcW w:w="2153" w:type="dxa"/>
            <w:vAlign w:val="center"/>
          </w:tcPr>
          <w:p w14:paraId="0B4EB792">
            <w:pPr>
              <w:pStyle w:val="15"/>
              <w:spacing w:line="340" w:lineRule="exact"/>
              <w:jc w:val="center"/>
              <w:rPr>
                <w:rFonts w:hint="eastAsia" w:hAnsi="宋体"/>
              </w:rPr>
            </w:pPr>
            <w:r>
              <w:rPr>
                <w:rFonts w:hint="eastAsia" w:hAnsi="宋体"/>
              </w:rPr>
              <w:t>资金情况</w:t>
            </w:r>
          </w:p>
        </w:tc>
        <w:tc>
          <w:tcPr>
            <w:tcW w:w="6212" w:type="dxa"/>
            <w:vAlign w:val="center"/>
          </w:tcPr>
          <w:p w14:paraId="65E51D99">
            <w:pPr>
              <w:pStyle w:val="15"/>
              <w:spacing w:line="340" w:lineRule="exact"/>
              <w:jc w:val="left"/>
              <w:rPr>
                <w:rFonts w:hint="eastAsia" w:hAnsi="宋体"/>
              </w:rPr>
            </w:pPr>
            <w:r>
              <w:rPr>
                <w:rFonts w:hint="eastAsia" w:hAnsi="宋体"/>
              </w:rPr>
              <w:t>比选人自筹，已落实。</w:t>
            </w:r>
          </w:p>
        </w:tc>
      </w:tr>
      <w:tr w14:paraId="6B89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1653F2F6">
            <w:pPr>
              <w:pStyle w:val="15"/>
              <w:spacing w:line="340" w:lineRule="exact"/>
              <w:jc w:val="center"/>
              <w:rPr>
                <w:rFonts w:hint="eastAsia" w:hAnsi="宋体"/>
              </w:rPr>
            </w:pPr>
            <w:r>
              <w:rPr>
                <w:rFonts w:hint="eastAsia" w:hAnsi="宋体"/>
              </w:rPr>
              <w:t>5</w:t>
            </w:r>
          </w:p>
        </w:tc>
        <w:tc>
          <w:tcPr>
            <w:tcW w:w="2153" w:type="dxa"/>
            <w:vAlign w:val="center"/>
          </w:tcPr>
          <w:p w14:paraId="2D9C8F4D">
            <w:pPr>
              <w:pStyle w:val="15"/>
              <w:spacing w:line="340" w:lineRule="exact"/>
              <w:jc w:val="center"/>
              <w:rPr>
                <w:rFonts w:hint="eastAsia" w:hAnsi="宋体"/>
              </w:rPr>
            </w:pPr>
            <w:r>
              <w:rPr>
                <w:rFonts w:hint="eastAsia" w:ascii="Times New Roman" w:hAnsi="Times New Roman"/>
              </w:rPr>
              <w:t>★</w:t>
            </w:r>
            <w:r>
              <w:rPr>
                <w:rFonts w:hint="eastAsia" w:hAnsi="宋体"/>
              </w:rPr>
              <w:t>比选范围</w:t>
            </w:r>
          </w:p>
        </w:tc>
        <w:tc>
          <w:tcPr>
            <w:tcW w:w="6212" w:type="dxa"/>
            <w:vAlign w:val="center"/>
          </w:tcPr>
          <w:p w14:paraId="6A323ED5">
            <w:pPr>
              <w:tabs>
                <w:tab w:val="left" w:pos="5220"/>
                <w:tab w:val="left" w:pos="5400"/>
                <w:tab w:val="left" w:pos="5580"/>
              </w:tabs>
              <w:autoSpaceDE w:val="0"/>
              <w:autoSpaceDN w:val="0"/>
              <w:spacing w:line="360" w:lineRule="auto"/>
              <w:rPr>
                <w:kern w:val="0"/>
                <w:szCs w:val="21"/>
              </w:rPr>
            </w:pPr>
            <w:r>
              <w:rPr>
                <w:rFonts w:hint="eastAsia"/>
                <w:kern w:val="0"/>
                <w:szCs w:val="21"/>
              </w:rPr>
              <w:t>拟采购</w:t>
            </w:r>
            <w:r>
              <w:rPr>
                <w:rFonts w:hint="eastAsia"/>
                <w:kern w:val="0"/>
                <w:szCs w:val="21"/>
                <w:lang w:val="en-US" w:eastAsia="zh-CN"/>
              </w:rPr>
              <w:t>2套</w:t>
            </w:r>
            <w:r>
              <w:rPr>
                <w:rFonts w:hint="eastAsia"/>
                <w:kern w:val="0"/>
                <w:szCs w:val="21"/>
              </w:rPr>
              <w:t>480KW分体式直流充电堆设备（充电模块功率不低于20KW），每</w:t>
            </w:r>
            <w:r>
              <w:rPr>
                <w:rFonts w:hint="eastAsia"/>
                <w:kern w:val="0"/>
                <w:szCs w:val="21"/>
                <w:lang w:val="en-US" w:eastAsia="zh-CN"/>
              </w:rPr>
              <w:t>套</w:t>
            </w:r>
            <w:r>
              <w:rPr>
                <w:rFonts w:hint="eastAsia"/>
                <w:kern w:val="0"/>
                <w:szCs w:val="21"/>
              </w:rPr>
              <w:t>充电堆</w:t>
            </w:r>
            <w:r>
              <w:rPr>
                <w:rFonts w:hint="eastAsia" w:ascii="Times New Roman" w:hAnsi="Times New Roman" w:eastAsia="宋体" w:cs="Times New Roman"/>
                <w:kern w:val="0"/>
                <w:sz w:val="21"/>
                <w:szCs w:val="21"/>
                <w:highlight w:val="none"/>
              </w:rPr>
              <w:t>包含</w:t>
            </w:r>
            <w:r>
              <w:rPr>
                <w:rFonts w:hint="eastAsia" w:ascii="Times New Roman" w:hAnsi="Times New Roman" w:eastAsia="宋体" w:cs="Times New Roman"/>
                <w:kern w:val="0"/>
                <w:sz w:val="21"/>
                <w:szCs w:val="21"/>
                <w:highlight w:val="none"/>
                <w:lang w:eastAsia="zh-CN"/>
              </w:rPr>
              <w:t>4</w:t>
            </w:r>
            <w:r>
              <w:rPr>
                <w:rFonts w:hint="eastAsia" w:ascii="Times New Roman" w:hAnsi="Times New Roman" w:eastAsia="宋体" w:cs="Times New Roman"/>
                <w:kern w:val="0"/>
                <w:sz w:val="21"/>
                <w:szCs w:val="21"/>
                <w:highlight w:val="none"/>
                <w:lang w:val="en-US" w:eastAsia="zh-CN"/>
              </w:rPr>
              <w:t>台</w:t>
            </w:r>
            <w:r>
              <w:rPr>
                <w:rFonts w:hint="eastAsia" w:ascii="Times New Roman" w:hAnsi="Times New Roman" w:eastAsia="宋体" w:cs="Times New Roman"/>
                <w:kern w:val="0"/>
                <w:sz w:val="21"/>
                <w:szCs w:val="21"/>
                <w:highlight w:val="none"/>
              </w:rPr>
              <w:t>普通充电</w:t>
            </w:r>
            <w:r>
              <w:rPr>
                <w:rFonts w:hint="eastAsia" w:ascii="Times New Roman" w:hAnsi="Times New Roman" w:eastAsia="宋体" w:cs="Times New Roman"/>
                <w:kern w:val="0"/>
                <w:sz w:val="21"/>
                <w:szCs w:val="21"/>
                <w:highlight w:val="none"/>
                <w:lang w:val="en-US" w:eastAsia="zh-CN"/>
              </w:rPr>
              <w:t>桩</w:t>
            </w:r>
            <w:r>
              <w:rPr>
                <w:rFonts w:hint="eastAsia" w:ascii="Times New Roman" w:hAnsi="Times New Roman" w:eastAsia="宋体" w:cs="Times New Roman"/>
                <w:kern w:val="0"/>
                <w:sz w:val="21"/>
                <w:szCs w:val="21"/>
                <w:highlight w:val="none"/>
              </w:rPr>
              <w:t>（单桩双枪）</w:t>
            </w:r>
            <w:r>
              <w:rPr>
                <w:rFonts w:hint="eastAsia"/>
                <w:kern w:val="0"/>
                <w:szCs w:val="21"/>
              </w:rPr>
              <w:t>。具体内容包括但不限于：</w:t>
            </w:r>
          </w:p>
          <w:p w14:paraId="24A1649F">
            <w:pPr>
              <w:tabs>
                <w:tab w:val="left" w:pos="5220"/>
                <w:tab w:val="left" w:pos="5400"/>
                <w:tab w:val="left" w:pos="5580"/>
              </w:tabs>
              <w:autoSpaceDE w:val="0"/>
              <w:autoSpaceDN w:val="0"/>
              <w:spacing w:line="360" w:lineRule="auto"/>
              <w:rPr>
                <w:kern w:val="0"/>
                <w:szCs w:val="21"/>
              </w:rPr>
            </w:pPr>
            <w:r>
              <w:rPr>
                <w:rFonts w:hint="eastAsia"/>
                <w:kern w:val="0"/>
                <w:szCs w:val="21"/>
              </w:rPr>
              <w:t>（1）新采购充电堆设备（包含所需全部备品配件）；</w:t>
            </w:r>
          </w:p>
          <w:p w14:paraId="5E9DE92C">
            <w:pPr>
              <w:tabs>
                <w:tab w:val="left" w:pos="5220"/>
                <w:tab w:val="left" w:pos="5400"/>
                <w:tab w:val="left" w:pos="5580"/>
              </w:tabs>
              <w:autoSpaceDE w:val="0"/>
              <w:autoSpaceDN w:val="0"/>
              <w:spacing w:line="360" w:lineRule="auto"/>
              <w:rPr>
                <w:kern w:val="0"/>
                <w:szCs w:val="21"/>
              </w:rPr>
            </w:pPr>
            <w:r>
              <w:rPr>
                <w:rFonts w:hint="eastAsia"/>
                <w:kern w:val="0"/>
                <w:szCs w:val="21"/>
              </w:rPr>
              <w:t>（2）全部充电设备接入比选人指定充电运营监控管理平台；</w:t>
            </w:r>
          </w:p>
          <w:p w14:paraId="6B072CC6">
            <w:pPr>
              <w:tabs>
                <w:tab w:val="left" w:pos="5220"/>
                <w:tab w:val="left" w:pos="5400"/>
                <w:tab w:val="left" w:pos="5580"/>
              </w:tabs>
              <w:autoSpaceDE w:val="0"/>
              <w:autoSpaceDN w:val="0"/>
              <w:spacing w:line="360" w:lineRule="auto"/>
              <w:rPr>
                <w:kern w:val="0"/>
                <w:szCs w:val="21"/>
              </w:rPr>
            </w:pPr>
            <w:r>
              <w:rPr>
                <w:rFonts w:hint="eastAsia"/>
                <w:kern w:val="0"/>
                <w:szCs w:val="21"/>
              </w:rPr>
              <w:t>（3）充电设备（包含全部备品配件）运输及现场吊装卸车、临时保管；</w:t>
            </w:r>
          </w:p>
          <w:p w14:paraId="0D4DA86F">
            <w:pPr>
              <w:tabs>
                <w:tab w:val="left" w:pos="5220"/>
                <w:tab w:val="left" w:pos="5400"/>
                <w:tab w:val="left" w:pos="5580"/>
              </w:tabs>
              <w:autoSpaceDE w:val="0"/>
              <w:autoSpaceDN w:val="0"/>
              <w:spacing w:line="360" w:lineRule="auto"/>
              <w:rPr>
                <w:kern w:val="0"/>
                <w:szCs w:val="21"/>
              </w:rPr>
            </w:pPr>
            <w:r>
              <w:rPr>
                <w:rFonts w:hint="eastAsia"/>
                <w:kern w:val="0"/>
                <w:szCs w:val="21"/>
              </w:rPr>
              <w:t>（4）充电堆设备调试服务；</w:t>
            </w:r>
          </w:p>
          <w:p w14:paraId="77437194">
            <w:pPr>
              <w:tabs>
                <w:tab w:val="left" w:pos="5220"/>
                <w:tab w:val="left" w:pos="5400"/>
                <w:tab w:val="left" w:pos="5580"/>
              </w:tabs>
              <w:autoSpaceDE w:val="0"/>
              <w:autoSpaceDN w:val="0"/>
              <w:spacing w:line="360" w:lineRule="auto"/>
              <w:rPr>
                <w:kern w:val="0"/>
                <w:szCs w:val="21"/>
              </w:rPr>
            </w:pPr>
            <w:r>
              <w:rPr>
                <w:rFonts w:hint="eastAsia"/>
                <w:kern w:val="0"/>
                <w:szCs w:val="21"/>
              </w:rPr>
              <w:t>（5）充电设备提供至少5年的质保（包括但不限于桩体、模块、易损件如枪头、枪线、显示屏等）及免费上门维护服务；</w:t>
            </w:r>
          </w:p>
          <w:p w14:paraId="71693100">
            <w:pPr>
              <w:tabs>
                <w:tab w:val="left" w:pos="5220"/>
                <w:tab w:val="left" w:pos="5400"/>
                <w:tab w:val="left" w:pos="5580"/>
              </w:tabs>
              <w:autoSpaceDE w:val="0"/>
              <w:autoSpaceDN w:val="0"/>
              <w:spacing w:line="360" w:lineRule="auto"/>
              <w:rPr>
                <w:rFonts w:hint="eastAsia"/>
                <w:kern w:val="0"/>
                <w:szCs w:val="21"/>
              </w:rPr>
            </w:pPr>
            <w:r>
              <w:rPr>
                <w:rFonts w:hint="eastAsia"/>
                <w:kern w:val="0"/>
                <w:szCs w:val="21"/>
              </w:rPr>
              <w:t>（6）充电设备按照国家相关法律法规完成2次充电设备计量检定，并取得检定合格证书，第1次检定时间为充电站投运前，第2次检定时间为第1次检定合格证书有效期届满前30天内。</w:t>
            </w:r>
          </w:p>
          <w:p w14:paraId="32CDC90E">
            <w:pPr>
              <w:tabs>
                <w:tab w:val="left" w:pos="5220"/>
                <w:tab w:val="left" w:pos="5400"/>
                <w:tab w:val="left" w:pos="5580"/>
              </w:tabs>
              <w:autoSpaceDE w:val="0"/>
              <w:autoSpaceDN w:val="0"/>
              <w:spacing w:line="360" w:lineRule="auto"/>
              <w:ind w:firstLine="0" w:firstLineChars="0"/>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7</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充电桩通信模块支持移动、联通、电信三大运营商网络，设备可根据环境信号强弱智能选择最优运营商网络，确保网络信号稳定性；</w:t>
            </w:r>
          </w:p>
          <w:p w14:paraId="274B1612">
            <w:pPr>
              <w:tabs>
                <w:tab w:val="left" w:pos="5220"/>
                <w:tab w:val="left" w:pos="5400"/>
                <w:tab w:val="left" w:pos="5580"/>
              </w:tabs>
              <w:autoSpaceDE w:val="0"/>
              <w:autoSpaceDN w:val="0"/>
              <w:spacing w:line="360" w:lineRule="auto"/>
              <w:ind w:firstLine="0" w:firstLineChars="0"/>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8</w:t>
            </w: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rPr>
              <w:t>充电桩支持多种联网方式（4G、以太网等），可通过智能备份机制确保网络不间断，当有线网络断开时，设备可自动切换到4G，有线网络恢复时，设备可自动切换到有限网络连接。</w:t>
            </w:r>
          </w:p>
          <w:p w14:paraId="756F35B0">
            <w:pPr>
              <w:tabs>
                <w:tab w:val="left" w:pos="5220"/>
                <w:tab w:val="left" w:pos="5400"/>
                <w:tab w:val="left" w:pos="5580"/>
              </w:tabs>
              <w:autoSpaceDE w:val="0"/>
              <w:autoSpaceDN w:val="0"/>
              <w:spacing w:line="360" w:lineRule="auto"/>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9）</w:t>
            </w:r>
            <w:r>
              <w:rPr>
                <w:rFonts w:hint="eastAsia" w:cs="Times New Roman"/>
                <w:kern w:val="0"/>
                <w:sz w:val="21"/>
                <w:szCs w:val="21"/>
                <w:lang w:val="en-US" w:eastAsia="zh-CN"/>
              </w:rPr>
              <w:t>充电</w:t>
            </w:r>
            <w:r>
              <w:rPr>
                <w:rFonts w:hint="eastAsia" w:ascii="Times New Roman" w:hAnsi="Times New Roman" w:eastAsia="宋体" w:cs="Times New Roman"/>
                <w:kern w:val="0"/>
                <w:sz w:val="21"/>
                <w:szCs w:val="21"/>
                <w:lang w:val="en-US" w:eastAsia="zh-CN"/>
              </w:rPr>
              <w:t>设备须接入比选人运营、监控管理平台，所产生的设备平台接入调试费用（若有）均包括在设备单价和总价中，设备平台接入调试费用发生时由</w:t>
            </w:r>
            <w:r>
              <w:rPr>
                <w:rFonts w:hint="eastAsia" w:cs="Times New Roman"/>
                <w:kern w:val="0"/>
                <w:sz w:val="21"/>
                <w:szCs w:val="21"/>
                <w:lang w:val="en-US" w:eastAsia="zh-CN"/>
              </w:rPr>
              <w:t>比选申请人</w:t>
            </w:r>
            <w:r>
              <w:rPr>
                <w:rFonts w:hint="eastAsia" w:ascii="Times New Roman" w:hAnsi="Times New Roman" w:eastAsia="宋体" w:cs="Times New Roman"/>
                <w:kern w:val="0"/>
                <w:sz w:val="21"/>
                <w:szCs w:val="21"/>
                <w:lang w:val="en-US" w:eastAsia="zh-CN"/>
              </w:rPr>
              <w:t>直接向第三方支付。</w:t>
            </w:r>
          </w:p>
        </w:tc>
      </w:tr>
      <w:tr w14:paraId="1159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960" w:type="dxa"/>
            <w:vAlign w:val="center"/>
          </w:tcPr>
          <w:p w14:paraId="1E75ADF4">
            <w:pPr>
              <w:pStyle w:val="15"/>
              <w:spacing w:line="340" w:lineRule="exact"/>
              <w:jc w:val="center"/>
              <w:rPr>
                <w:rFonts w:hint="eastAsia" w:hAnsi="宋体"/>
              </w:rPr>
            </w:pPr>
            <w:r>
              <w:rPr>
                <w:rFonts w:hint="eastAsia" w:hAnsi="宋体"/>
              </w:rPr>
              <w:t>6</w:t>
            </w:r>
          </w:p>
        </w:tc>
        <w:tc>
          <w:tcPr>
            <w:tcW w:w="2153" w:type="dxa"/>
            <w:vAlign w:val="center"/>
          </w:tcPr>
          <w:p w14:paraId="239F2B34">
            <w:pPr>
              <w:pStyle w:val="15"/>
              <w:spacing w:line="340" w:lineRule="exact"/>
              <w:jc w:val="center"/>
              <w:rPr>
                <w:rFonts w:hint="eastAsia" w:hAnsi="宋体"/>
              </w:rPr>
            </w:pPr>
            <w:r>
              <w:rPr>
                <w:rFonts w:hint="eastAsia" w:ascii="Times New Roman" w:hAnsi="Times New Roman"/>
              </w:rPr>
              <w:t>★</w:t>
            </w:r>
            <w:r>
              <w:rPr>
                <w:rFonts w:hint="eastAsia" w:hAnsi="宋体"/>
              </w:rPr>
              <w:t>完成期限</w:t>
            </w:r>
          </w:p>
        </w:tc>
        <w:tc>
          <w:tcPr>
            <w:tcW w:w="6212" w:type="dxa"/>
            <w:vAlign w:val="center"/>
          </w:tcPr>
          <w:p w14:paraId="2C494142">
            <w:pPr>
              <w:tabs>
                <w:tab w:val="left" w:pos="5220"/>
                <w:tab w:val="left" w:pos="5400"/>
                <w:tab w:val="left" w:pos="5580"/>
              </w:tabs>
              <w:autoSpaceDE w:val="0"/>
              <w:autoSpaceDN w:val="0"/>
              <w:spacing w:line="360" w:lineRule="auto"/>
              <w:rPr>
                <w:rFonts w:hint="eastAsia" w:hAnsi="宋体"/>
              </w:rPr>
            </w:pPr>
            <w:r>
              <w:rPr>
                <w:rFonts w:hint="eastAsia"/>
                <w:kern w:val="0"/>
                <w:szCs w:val="21"/>
              </w:rPr>
              <w:t>在接收到比选人发货通知后5个日历天内完成供应、运输、交货，安装完成后7个日历天内完成调试、计量检定，取得检定合格证书，并保证实现全部功能和实际使用。</w:t>
            </w:r>
          </w:p>
        </w:tc>
      </w:tr>
      <w:tr w14:paraId="59D8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60" w:type="dxa"/>
            <w:vAlign w:val="center"/>
          </w:tcPr>
          <w:p w14:paraId="2ACD234F">
            <w:pPr>
              <w:pStyle w:val="15"/>
              <w:spacing w:line="340" w:lineRule="exact"/>
              <w:jc w:val="center"/>
              <w:rPr>
                <w:rFonts w:hint="eastAsia" w:hAnsi="宋体"/>
              </w:rPr>
            </w:pPr>
            <w:r>
              <w:rPr>
                <w:rFonts w:hint="eastAsia" w:hAnsi="宋体"/>
              </w:rPr>
              <w:t>7</w:t>
            </w:r>
          </w:p>
        </w:tc>
        <w:tc>
          <w:tcPr>
            <w:tcW w:w="2153" w:type="dxa"/>
            <w:vAlign w:val="center"/>
          </w:tcPr>
          <w:p w14:paraId="1AD04F90">
            <w:pPr>
              <w:spacing w:line="360" w:lineRule="auto"/>
              <w:jc w:val="center"/>
              <w:rPr>
                <w:szCs w:val="21"/>
              </w:rPr>
            </w:pPr>
            <w:r>
              <w:rPr>
                <w:szCs w:val="21"/>
              </w:rPr>
              <w:t>★</w:t>
            </w:r>
            <w:r>
              <w:rPr>
                <w:bCs/>
                <w:szCs w:val="21"/>
              </w:rPr>
              <w:t>是否接受联合体申请</w:t>
            </w:r>
          </w:p>
        </w:tc>
        <w:tc>
          <w:tcPr>
            <w:tcW w:w="6212" w:type="dxa"/>
            <w:vAlign w:val="center"/>
          </w:tcPr>
          <w:p w14:paraId="44891430">
            <w:pPr>
              <w:tabs>
                <w:tab w:val="left" w:pos="5220"/>
                <w:tab w:val="left" w:pos="5400"/>
                <w:tab w:val="left" w:pos="5580"/>
              </w:tabs>
              <w:autoSpaceDE w:val="0"/>
              <w:autoSpaceDN w:val="0"/>
              <w:spacing w:line="360" w:lineRule="auto"/>
              <w:rPr>
                <w:kern w:val="0"/>
                <w:szCs w:val="21"/>
              </w:rPr>
            </w:pPr>
            <w:r>
              <w:rPr>
                <w:rFonts w:hint="eastAsia"/>
                <w:kern w:val="0"/>
                <w:szCs w:val="21"/>
              </w:rPr>
              <w:t>不接受</w:t>
            </w:r>
          </w:p>
        </w:tc>
      </w:tr>
      <w:tr w14:paraId="093A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vAlign w:val="center"/>
          </w:tcPr>
          <w:p w14:paraId="5C7CD069">
            <w:pPr>
              <w:pStyle w:val="15"/>
              <w:spacing w:line="340" w:lineRule="exact"/>
              <w:jc w:val="center"/>
              <w:rPr>
                <w:rFonts w:hint="eastAsia" w:hAnsi="宋体"/>
              </w:rPr>
            </w:pPr>
            <w:r>
              <w:rPr>
                <w:rFonts w:hint="eastAsia" w:hAnsi="宋体"/>
              </w:rPr>
              <w:t>8</w:t>
            </w:r>
          </w:p>
        </w:tc>
        <w:tc>
          <w:tcPr>
            <w:tcW w:w="2153" w:type="dxa"/>
            <w:vAlign w:val="center"/>
          </w:tcPr>
          <w:p w14:paraId="3B542649">
            <w:pPr>
              <w:pStyle w:val="15"/>
              <w:spacing w:line="340" w:lineRule="exact"/>
              <w:jc w:val="center"/>
              <w:rPr>
                <w:rFonts w:hint="eastAsia" w:hAnsi="宋体"/>
              </w:rPr>
            </w:pPr>
            <w:r>
              <w:rPr>
                <w:rFonts w:hint="eastAsia" w:ascii="Times New Roman" w:hAnsi="Times New Roman"/>
              </w:rPr>
              <w:t>★</w:t>
            </w:r>
            <w:r>
              <w:rPr>
                <w:rFonts w:hint="eastAsia" w:hAnsi="宋体"/>
              </w:rPr>
              <w:t>比选申请人资格要求</w:t>
            </w:r>
          </w:p>
        </w:tc>
        <w:tc>
          <w:tcPr>
            <w:tcW w:w="6212" w:type="dxa"/>
            <w:vAlign w:val="center"/>
          </w:tcPr>
          <w:p w14:paraId="737FCF23">
            <w:pPr>
              <w:rPr>
                <w:rFonts w:hint="default" w:eastAsia="宋体"/>
                <w:kern w:val="0"/>
                <w:szCs w:val="21"/>
                <w:lang w:val="en-US" w:eastAsia="zh-CN"/>
              </w:rPr>
            </w:pPr>
            <w:r>
              <w:rPr>
                <w:rFonts w:hint="eastAsia"/>
                <w:kern w:val="0"/>
                <w:szCs w:val="21"/>
                <w:lang w:val="en-US" w:eastAsia="zh-CN"/>
              </w:rPr>
              <w:t>详比选公告</w:t>
            </w:r>
          </w:p>
        </w:tc>
      </w:tr>
      <w:tr w14:paraId="1111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960" w:type="dxa"/>
            <w:vAlign w:val="center"/>
          </w:tcPr>
          <w:p w14:paraId="22117778">
            <w:pPr>
              <w:pStyle w:val="15"/>
              <w:spacing w:line="340" w:lineRule="exact"/>
              <w:jc w:val="center"/>
              <w:rPr>
                <w:rFonts w:hint="eastAsia" w:hAnsi="宋体"/>
              </w:rPr>
            </w:pPr>
            <w:r>
              <w:rPr>
                <w:rFonts w:hint="eastAsia" w:hAnsi="宋体"/>
              </w:rPr>
              <w:t>9</w:t>
            </w:r>
          </w:p>
        </w:tc>
        <w:tc>
          <w:tcPr>
            <w:tcW w:w="2153" w:type="dxa"/>
            <w:vAlign w:val="center"/>
          </w:tcPr>
          <w:p w14:paraId="1320F097">
            <w:pPr>
              <w:pStyle w:val="15"/>
              <w:jc w:val="center"/>
              <w:rPr>
                <w:rFonts w:hint="eastAsia" w:hAnsi="宋体"/>
              </w:rPr>
            </w:pPr>
            <w:r>
              <w:rPr>
                <w:rFonts w:hint="eastAsia" w:hAnsi="宋体"/>
              </w:rPr>
              <w:t>比选文件的组成</w:t>
            </w:r>
          </w:p>
        </w:tc>
        <w:tc>
          <w:tcPr>
            <w:tcW w:w="6212" w:type="dxa"/>
            <w:vAlign w:val="center"/>
          </w:tcPr>
          <w:p w14:paraId="71BA9AF5">
            <w:pPr>
              <w:numPr>
                <w:ilvl w:val="0"/>
                <w:numId w:val="3"/>
              </w:numPr>
              <w:spacing w:line="348" w:lineRule="auto"/>
              <w:rPr>
                <w:rFonts w:hint="eastAsia" w:ascii="宋体" w:hAnsi="宋体"/>
                <w:szCs w:val="21"/>
              </w:rPr>
            </w:pPr>
            <w:r>
              <w:rPr>
                <w:rFonts w:hint="eastAsia" w:ascii="宋体" w:hAnsi="宋体"/>
                <w:szCs w:val="21"/>
              </w:rPr>
              <w:t>比选公告</w:t>
            </w:r>
          </w:p>
          <w:p w14:paraId="1ED79B7F">
            <w:pPr>
              <w:spacing w:line="348" w:lineRule="auto"/>
              <w:rPr>
                <w:rFonts w:hint="eastAsia" w:ascii="宋体" w:hAnsi="宋体"/>
                <w:szCs w:val="21"/>
              </w:rPr>
            </w:pPr>
            <w:r>
              <w:rPr>
                <w:rFonts w:hint="eastAsia" w:ascii="宋体" w:hAnsi="宋体"/>
                <w:szCs w:val="21"/>
              </w:rPr>
              <w:t>（二）比选申请人须知</w:t>
            </w:r>
          </w:p>
          <w:p w14:paraId="50751F97">
            <w:pPr>
              <w:spacing w:line="348" w:lineRule="auto"/>
              <w:rPr>
                <w:rFonts w:hint="eastAsia" w:ascii="宋体" w:hAnsi="宋体"/>
                <w:szCs w:val="21"/>
              </w:rPr>
            </w:pPr>
            <w:r>
              <w:rPr>
                <w:rFonts w:hint="eastAsia" w:ascii="宋体" w:hAnsi="宋体"/>
                <w:szCs w:val="21"/>
              </w:rPr>
              <w:t>（三）评标办法</w:t>
            </w:r>
          </w:p>
          <w:p w14:paraId="3849D67F">
            <w:pPr>
              <w:spacing w:line="348" w:lineRule="auto"/>
            </w:pPr>
            <w:r>
              <w:rPr>
                <w:rFonts w:hint="eastAsia"/>
              </w:rPr>
              <w:t>（四）</w:t>
            </w:r>
            <w:r>
              <w:rPr>
                <w:rFonts w:hint="eastAsia" w:ascii="宋体" w:hAnsi="宋体"/>
                <w:bCs/>
                <w:kern w:val="44"/>
                <w:szCs w:val="44"/>
              </w:rPr>
              <w:t>设备标准和要求</w:t>
            </w:r>
          </w:p>
          <w:p w14:paraId="03B69C88">
            <w:pPr>
              <w:spacing w:line="360" w:lineRule="auto"/>
              <w:rPr>
                <w:rFonts w:hint="eastAsia" w:ascii="宋体" w:hAnsi="宋体"/>
                <w:szCs w:val="21"/>
              </w:rPr>
            </w:pPr>
            <w:r>
              <w:rPr>
                <w:rFonts w:hint="eastAsia" w:ascii="宋体" w:hAnsi="宋体"/>
                <w:szCs w:val="21"/>
              </w:rPr>
              <w:t>（五）合同条款及格式</w:t>
            </w:r>
          </w:p>
          <w:p w14:paraId="0F9FD172">
            <w:pPr>
              <w:spacing w:line="348" w:lineRule="auto"/>
              <w:rPr>
                <w:rFonts w:hint="eastAsia" w:ascii="宋体" w:hAnsi="宋体"/>
                <w:szCs w:val="21"/>
              </w:rPr>
            </w:pPr>
            <w:r>
              <w:rPr>
                <w:rFonts w:hint="eastAsia" w:ascii="宋体" w:hAnsi="宋体"/>
                <w:szCs w:val="21"/>
              </w:rPr>
              <w:t>（六）费用清单</w:t>
            </w:r>
          </w:p>
          <w:p w14:paraId="0132B332">
            <w:pPr>
              <w:pStyle w:val="15"/>
              <w:spacing w:line="360" w:lineRule="auto"/>
              <w:rPr>
                <w:rFonts w:hint="eastAsia" w:hAnsi="宋体"/>
              </w:rPr>
            </w:pPr>
            <w:r>
              <w:rPr>
                <w:rFonts w:hint="eastAsia" w:hAnsi="宋体"/>
              </w:rPr>
              <w:t>（七）比选申请文件格式</w:t>
            </w:r>
          </w:p>
        </w:tc>
      </w:tr>
      <w:tr w14:paraId="38D1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60" w:type="dxa"/>
            <w:vMerge w:val="restart"/>
            <w:vAlign w:val="center"/>
          </w:tcPr>
          <w:p w14:paraId="5E23CCD3">
            <w:pPr>
              <w:pStyle w:val="23"/>
              <w:spacing w:line="340" w:lineRule="exact"/>
              <w:rPr>
                <w:rFonts w:hint="eastAsia" w:hAnsi="宋体"/>
              </w:rPr>
            </w:pPr>
            <w:r>
              <w:rPr>
                <w:rFonts w:hint="eastAsia" w:hAnsi="宋体"/>
              </w:rPr>
              <w:t>11</w:t>
            </w:r>
          </w:p>
        </w:tc>
        <w:tc>
          <w:tcPr>
            <w:tcW w:w="2153" w:type="dxa"/>
            <w:vMerge w:val="restart"/>
            <w:vAlign w:val="center"/>
          </w:tcPr>
          <w:p w14:paraId="1E75AD42">
            <w:pPr>
              <w:spacing w:line="360" w:lineRule="auto"/>
              <w:jc w:val="center"/>
              <w:rPr>
                <w:szCs w:val="21"/>
              </w:rPr>
            </w:pPr>
          </w:p>
          <w:p w14:paraId="23847CAB">
            <w:pPr>
              <w:spacing w:line="360" w:lineRule="auto"/>
              <w:jc w:val="center"/>
              <w:rPr>
                <w:szCs w:val="21"/>
              </w:rPr>
            </w:pPr>
            <w:r>
              <w:rPr>
                <w:rFonts w:hint="eastAsia"/>
                <w:szCs w:val="21"/>
              </w:rPr>
              <w:t>比选申请人</w:t>
            </w:r>
            <w:r>
              <w:rPr>
                <w:szCs w:val="21"/>
              </w:rPr>
              <w:t>提出异议的时间</w:t>
            </w:r>
          </w:p>
          <w:p w14:paraId="2CAF6EBC">
            <w:pPr>
              <w:pStyle w:val="23"/>
              <w:spacing w:line="340" w:lineRule="exact"/>
              <w:rPr>
                <w:rFonts w:hint="eastAsia" w:hAnsi="宋体"/>
              </w:rPr>
            </w:pPr>
          </w:p>
        </w:tc>
        <w:tc>
          <w:tcPr>
            <w:tcW w:w="6212" w:type="dxa"/>
            <w:vAlign w:val="center"/>
          </w:tcPr>
          <w:p w14:paraId="6137E821">
            <w:pPr>
              <w:spacing w:line="360" w:lineRule="auto"/>
              <w:ind w:left="17" w:leftChars="8"/>
              <w:rPr>
                <w:szCs w:val="21"/>
              </w:rPr>
            </w:pPr>
            <w:r>
              <w:rPr>
                <w:szCs w:val="21"/>
              </w:rPr>
              <w:t>时间：</w:t>
            </w:r>
            <w:r>
              <w:rPr>
                <w:rFonts w:hint="eastAsia"/>
                <w:szCs w:val="21"/>
                <w:lang w:eastAsia="zh-CN"/>
              </w:rPr>
              <w:t>2025年</w:t>
            </w:r>
            <w:r>
              <w:rPr>
                <w:rFonts w:hint="eastAsia"/>
                <w:szCs w:val="21"/>
                <w:lang w:val="en-US" w:eastAsia="zh-CN"/>
              </w:rPr>
              <w:t>6</w:t>
            </w:r>
            <w:r>
              <w:rPr>
                <w:szCs w:val="21"/>
              </w:rPr>
              <w:t>月</w:t>
            </w:r>
            <w:r>
              <w:rPr>
                <w:rFonts w:hint="eastAsia"/>
                <w:szCs w:val="21"/>
                <w:lang w:val="en-US" w:eastAsia="zh-CN"/>
              </w:rPr>
              <w:t>11</w:t>
            </w:r>
            <w:r>
              <w:rPr>
                <w:szCs w:val="21"/>
              </w:rPr>
              <w:t>日</w:t>
            </w:r>
            <w:r>
              <w:rPr>
                <w:rFonts w:hint="eastAsia"/>
                <w:szCs w:val="21"/>
              </w:rPr>
              <w:t>1</w:t>
            </w:r>
            <w:r>
              <w:rPr>
                <w:rFonts w:hint="eastAsia"/>
                <w:szCs w:val="21"/>
                <w:lang w:val="en-US" w:eastAsia="zh-CN"/>
              </w:rPr>
              <w:t>7</w:t>
            </w:r>
            <w:r>
              <w:rPr>
                <w:szCs w:val="21"/>
              </w:rPr>
              <w:t>时</w:t>
            </w:r>
            <w:r>
              <w:rPr>
                <w:rFonts w:hint="eastAsia"/>
                <w:szCs w:val="21"/>
                <w:lang w:val="en-US" w:eastAsia="zh-CN"/>
              </w:rPr>
              <w:t>0</w:t>
            </w:r>
            <w:r>
              <w:rPr>
                <w:rFonts w:hint="eastAsia"/>
                <w:szCs w:val="21"/>
              </w:rPr>
              <w:t>0</w:t>
            </w:r>
            <w:r>
              <w:rPr>
                <w:szCs w:val="21"/>
              </w:rPr>
              <w:t>分之前</w:t>
            </w:r>
          </w:p>
        </w:tc>
      </w:tr>
      <w:tr w14:paraId="3B7C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60" w:type="dxa"/>
            <w:vMerge w:val="continue"/>
            <w:vAlign w:val="center"/>
          </w:tcPr>
          <w:p w14:paraId="499BEA8C">
            <w:pPr>
              <w:pStyle w:val="23"/>
              <w:spacing w:line="340" w:lineRule="exact"/>
              <w:rPr>
                <w:rFonts w:hint="eastAsia" w:hAnsi="宋体"/>
              </w:rPr>
            </w:pPr>
          </w:p>
        </w:tc>
        <w:tc>
          <w:tcPr>
            <w:tcW w:w="2153" w:type="dxa"/>
            <w:vMerge w:val="continue"/>
            <w:vAlign w:val="center"/>
          </w:tcPr>
          <w:p w14:paraId="7D81DA24">
            <w:pPr>
              <w:pStyle w:val="23"/>
              <w:spacing w:line="340" w:lineRule="exact"/>
              <w:rPr>
                <w:rFonts w:hint="eastAsia" w:hAnsi="宋体"/>
              </w:rPr>
            </w:pPr>
          </w:p>
        </w:tc>
        <w:tc>
          <w:tcPr>
            <w:tcW w:w="6212" w:type="dxa"/>
            <w:vAlign w:val="center"/>
          </w:tcPr>
          <w:p w14:paraId="799A9CBF">
            <w:pPr>
              <w:spacing w:line="360" w:lineRule="auto"/>
              <w:ind w:left="17" w:leftChars="8"/>
              <w:rPr>
                <w:szCs w:val="21"/>
                <w:u w:val="single"/>
              </w:rPr>
            </w:pPr>
            <w:r>
              <w:rPr>
                <w:szCs w:val="21"/>
              </w:rPr>
              <w:t>形式：不提供比选申请人的信息，将须澄清的问题采用电邮形式传送至比选人指定邮箱</w:t>
            </w:r>
            <w:r>
              <w:rPr>
                <w:rFonts w:hint="eastAsia"/>
                <w:szCs w:val="21"/>
                <w:lang w:val="en-US" w:eastAsia="zh-CN"/>
              </w:rPr>
              <w:t>394379666</w:t>
            </w:r>
            <w:r>
              <w:rPr>
                <w:szCs w:val="21"/>
              </w:rPr>
              <w:t>@qq.com。</w:t>
            </w:r>
          </w:p>
        </w:tc>
      </w:tr>
      <w:tr w14:paraId="3BF8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960" w:type="dxa"/>
            <w:vAlign w:val="center"/>
          </w:tcPr>
          <w:p w14:paraId="2AB1AE80">
            <w:pPr>
              <w:pStyle w:val="15"/>
              <w:spacing w:line="340" w:lineRule="exact"/>
              <w:jc w:val="center"/>
              <w:rPr>
                <w:rFonts w:hint="eastAsia" w:hAnsi="宋体"/>
              </w:rPr>
            </w:pPr>
            <w:r>
              <w:rPr>
                <w:rFonts w:hint="eastAsia" w:hAnsi="宋体"/>
              </w:rPr>
              <w:t>12</w:t>
            </w:r>
          </w:p>
        </w:tc>
        <w:tc>
          <w:tcPr>
            <w:tcW w:w="2153" w:type="dxa"/>
            <w:vAlign w:val="center"/>
          </w:tcPr>
          <w:p w14:paraId="7D802EAD">
            <w:pPr>
              <w:pStyle w:val="15"/>
              <w:spacing w:line="340" w:lineRule="exact"/>
              <w:jc w:val="center"/>
              <w:rPr>
                <w:rFonts w:hint="eastAsia" w:hAnsi="宋体"/>
              </w:rPr>
            </w:pPr>
            <w:r>
              <w:rPr>
                <w:rFonts w:hint="eastAsia" w:hAnsi="宋体"/>
              </w:rPr>
              <w:t>比选文件澄清发出的形式</w:t>
            </w:r>
          </w:p>
        </w:tc>
        <w:tc>
          <w:tcPr>
            <w:tcW w:w="6212" w:type="dxa"/>
            <w:vAlign w:val="center"/>
          </w:tcPr>
          <w:p w14:paraId="398B9C4F">
            <w:pPr>
              <w:pStyle w:val="15"/>
              <w:spacing w:line="360" w:lineRule="auto"/>
              <w:jc w:val="left"/>
              <w:rPr>
                <w:rFonts w:hint="eastAsia" w:hAnsi="宋体"/>
              </w:rPr>
            </w:pPr>
            <w:r>
              <w:rPr>
                <w:rFonts w:hint="eastAsia" w:ascii="Times New Roman" w:hAnsi="Times New Roman"/>
              </w:rPr>
              <w:t>比选人</w:t>
            </w:r>
            <w:r>
              <w:rPr>
                <w:rFonts w:ascii="Times New Roman" w:hAnsi="Times New Roman"/>
              </w:rPr>
              <w:t>将以补遗书形式对</w:t>
            </w:r>
            <w:r>
              <w:rPr>
                <w:rFonts w:hint="eastAsia" w:ascii="Times New Roman" w:hAnsi="Times New Roman"/>
              </w:rPr>
              <w:t>比选</w:t>
            </w:r>
            <w:r>
              <w:rPr>
                <w:rFonts w:ascii="Times New Roman" w:hAnsi="Times New Roman"/>
              </w:rPr>
              <w:t>文件进行澄清，</w:t>
            </w:r>
            <w:r>
              <w:rPr>
                <w:rFonts w:hint="eastAsia" w:ascii="Times New Roman" w:hAnsi="Times New Roman"/>
              </w:rPr>
              <w:t>补遗书公布在四川蜀道新能源科技发展有限公司网站（http://www.sdxnykj.cn/）上。</w:t>
            </w:r>
          </w:p>
        </w:tc>
      </w:tr>
      <w:tr w14:paraId="61E2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60" w:type="dxa"/>
            <w:vMerge w:val="restart"/>
            <w:vAlign w:val="center"/>
          </w:tcPr>
          <w:p w14:paraId="3ECCD0CB">
            <w:pPr>
              <w:pStyle w:val="15"/>
              <w:spacing w:line="340" w:lineRule="exact"/>
              <w:jc w:val="center"/>
              <w:rPr>
                <w:rFonts w:hint="eastAsia" w:hAnsi="宋体"/>
              </w:rPr>
            </w:pPr>
            <w:r>
              <w:rPr>
                <w:rFonts w:hint="eastAsia" w:hAnsi="宋体"/>
              </w:rPr>
              <w:t>13</w:t>
            </w:r>
          </w:p>
        </w:tc>
        <w:tc>
          <w:tcPr>
            <w:tcW w:w="2153" w:type="dxa"/>
            <w:vMerge w:val="restart"/>
            <w:vAlign w:val="center"/>
          </w:tcPr>
          <w:p w14:paraId="5272CA7F">
            <w:pPr>
              <w:pStyle w:val="15"/>
              <w:spacing w:line="340" w:lineRule="exact"/>
              <w:jc w:val="center"/>
              <w:rPr>
                <w:rFonts w:hint="eastAsia" w:hAnsi="宋体"/>
              </w:rPr>
            </w:pPr>
            <w:r>
              <w:rPr>
                <w:rFonts w:hint="eastAsia" w:hAnsi="宋体"/>
              </w:rPr>
              <w:t>比选申请人确认收到比选文件澄清</w:t>
            </w:r>
          </w:p>
        </w:tc>
        <w:tc>
          <w:tcPr>
            <w:tcW w:w="6212" w:type="dxa"/>
            <w:vAlign w:val="center"/>
          </w:tcPr>
          <w:p w14:paraId="18CF404F">
            <w:pPr>
              <w:pStyle w:val="15"/>
              <w:spacing w:line="340" w:lineRule="exact"/>
              <w:jc w:val="left"/>
              <w:rPr>
                <w:rFonts w:hint="eastAsia" w:hAnsi="宋体"/>
              </w:rPr>
            </w:pPr>
            <w:r>
              <w:rPr>
                <w:rFonts w:hint="eastAsia" w:hAnsi="宋体"/>
              </w:rPr>
              <w:t>时间：由比选申请人在比选人指定网站上自行查阅</w:t>
            </w:r>
          </w:p>
        </w:tc>
      </w:tr>
      <w:tr w14:paraId="7935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60" w:type="dxa"/>
            <w:vMerge w:val="continue"/>
            <w:vAlign w:val="center"/>
          </w:tcPr>
          <w:p w14:paraId="53CC3985">
            <w:pPr>
              <w:pStyle w:val="15"/>
              <w:spacing w:line="340" w:lineRule="exact"/>
              <w:jc w:val="center"/>
              <w:rPr>
                <w:rFonts w:hint="eastAsia" w:hAnsi="宋体"/>
              </w:rPr>
            </w:pPr>
          </w:p>
        </w:tc>
        <w:tc>
          <w:tcPr>
            <w:tcW w:w="2153" w:type="dxa"/>
            <w:vMerge w:val="continue"/>
            <w:vAlign w:val="center"/>
          </w:tcPr>
          <w:p w14:paraId="5CC7858C">
            <w:pPr>
              <w:pStyle w:val="15"/>
              <w:spacing w:line="340" w:lineRule="exact"/>
              <w:jc w:val="center"/>
              <w:rPr>
                <w:rFonts w:hint="eastAsia" w:hAnsi="宋体"/>
              </w:rPr>
            </w:pPr>
          </w:p>
        </w:tc>
        <w:tc>
          <w:tcPr>
            <w:tcW w:w="6212" w:type="dxa"/>
            <w:vAlign w:val="center"/>
          </w:tcPr>
          <w:p w14:paraId="6D5B2AB7">
            <w:pPr>
              <w:numPr>
                <w:ilvl w:val="0"/>
                <w:numId w:val="4"/>
              </w:numPr>
              <w:wordWrap w:val="0"/>
              <w:spacing w:line="420" w:lineRule="exact"/>
            </w:pPr>
            <w:r>
              <w:rPr>
                <w:rFonts w:hint="eastAsia" w:hAnsi="宋体"/>
              </w:rPr>
              <w:t>形式：</w:t>
            </w:r>
            <w:r>
              <w:t>不要求</w:t>
            </w:r>
            <w:r>
              <w:rPr>
                <w:rFonts w:hint="eastAsia" w:hAnsi="宋体"/>
              </w:rPr>
              <w:t>比选申请</w:t>
            </w:r>
            <w:r>
              <w:t>人向</w:t>
            </w:r>
            <w:r>
              <w:rPr>
                <w:rFonts w:hint="eastAsia" w:hAnsi="宋体"/>
              </w:rPr>
              <w:t>比选</w:t>
            </w:r>
            <w:r>
              <w:t>人发出确认函。</w:t>
            </w:r>
          </w:p>
          <w:p w14:paraId="5D82AD08">
            <w:pPr>
              <w:numPr>
                <w:ilvl w:val="0"/>
                <w:numId w:val="4"/>
              </w:numPr>
              <w:wordWrap w:val="0"/>
              <w:spacing w:line="420" w:lineRule="exact"/>
              <w:rPr>
                <w:rFonts w:hint="eastAsia" w:hAnsi="宋体"/>
              </w:rPr>
            </w:pPr>
            <w:r>
              <w:rPr>
                <w:rFonts w:hint="eastAsia" w:hAnsi="宋体"/>
              </w:rPr>
              <w:t>比选申请</w:t>
            </w:r>
            <w:r>
              <w:t>人应在</w:t>
            </w:r>
            <w:r>
              <w:rPr>
                <w:rFonts w:hint="eastAsia" w:hAnsi="宋体"/>
              </w:rPr>
              <w:t>比选</w:t>
            </w:r>
            <w:r>
              <w:t>期间实时关注</w:t>
            </w:r>
            <w:r>
              <w:rPr>
                <w:rFonts w:hint="eastAsia" w:hAnsi="宋体"/>
              </w:rPr>
              <w:t>比选</w:t>
            </w:r>
            <w:r>
              <w:t>人指定网站，并及时下载相关内容，</w:t>
            </w:r>
            <w:r>
              <w:rPr>
                <w:rFonts w:hint="eastAsia" w:hAnsi="宋体"/>
              </w:rPr>
              <w:t>比选</w:t>
            </w:r>
            <w:r>
              <w:t>人不再另行通知。查阅下载过程如有问题或疑问请及时与</w:t>
            </w:r>
            <w:r>
              <w:rPr>
                <w:rFonts w:hint="eastAsia" w:hAnsi="宋体"/>
              </w:rPr>
              <w:t>比选</w:t>
            </w:r>
            <w:r>
              <w:t>人联系；逾期未联系的，</w:t>
            </w:r>
            <w:r>
              <w:rPr>
                <w:rFonts w:hint="eastAsia" w:hAnsi="宋体"/>
              </w:rPr>
              <w:t>比选</w:t>
            </w:r>
            <w:r>
              <w:t>人视为</w:t>
            </w:r>
            <w:r>
              <w:rPr>
                <w:rFonts w:hint="eastAsia" w:hAnsi="宋体"/>
              </w:rPr>
              <w:t>比选申请</w:t>
            </w:r>
            <w:r>
              <w:t>人无任何问题，或是已收到或默认已收到，否则，造成的一切后果由</w:t>
            </w:r>
            <w:r>
              <w:rPr>
                <w:rFonts w:hint="eastAsia" w:hAnsi="宋体"/>
              </w:rPr>
              <w:t>比选申请</w:t>
            </w:r>
            <w:r>
              <w:t>人自负。</w:t>
            </w:r>
          </w:p>
        </w:tc>
      </w:tr>
      <w:tr w14:paraId="5F69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960" w:type="dxa"/>
            <w:vAlign w:val="center"/>
          </w:tcPr>
          <w:p w14:paraId="01EDAD8E">
            <w:pPr>
              <w:pStyle w:val="15"/>
              <w:spacing w:line="340" w:lineRule="exact"/>
              <w:jc w:val="center"/>
              <w:rPr>
                <w:rFonts w:cs="Courier New"/>
                <w:kern w:val="0"/>
              </w:rPr>
            </w:pPr>
            <w:r>
              <w:rPr>
                <w:rFonts w:hint="eastAsia" w:cs="Courier New"/>
                <w:kern w:val="0"/>
              </w:rPr>
              <w:t>14</w:t>
            </w:r>
          </w:p>
        </w:tc>
        <w:tc>
          <w:tcPr>
            <w:tcW w:w="2153" w:type="dxa"/>
            <w:vAlign w:val="center"/>
          </w:tcPr>
          <w:p w14:paraId="1627E273">
            <w:pPr>
              <w:wordWrap w:val="0"/>
              <w:spacing w:before="120" w:beforeLines="50" w:line="420" w:lineRule="exact"/>
              <w:jc w:val="center"/>
              <w:rPr>
                <w:rFonts w:eastAsiaTheme="minorEastAsia"/>
                <w:szCs w:val="21"/>
              </w:rPr>
            </w:pPr>
            <w:r>
              <w:rPr>
                <w:rFonts w:hint="eastAsia"/>
                <w:szCs w:val="21"/>
              </w:rPr>
              <w:t>比选文件</w:t>
            </w:r>
            <w:r>
              <w:rPr>
                <w:szCs w:val="21"/>
              </w:rPr>
              <w:t>修改发出的形式</w:t>
            </w:r>
          </w:p>
        </w:tc>
        <w:tc>
          <w:tcPr>
            <w:tcW w:w="6212" w:type="dxa"/>
            <w:vAlign w:val="center"/>
          </w:tcPr>
          <w:p w14:paraId="132722A9">
            <w:pPr>
              <w:pStyle w:val="46"/>
              <w:wordWrap w:val="0"/>
              <w:autoSpaceDE/>
              <w:autoSpaceDN/>
              <w:spacing w:line="420" w:lineRule="exact"/>
              <w:jc w:val="both"/>
              <w:rPr>
                <w:rFonts w:ascii="Times New Roman" w:cs="Times New Roman"/>
                <w:color w:val="auto"/>
                <w:sz w:val="21"/>
                <w:szCs w:val="21"/>
              </w:rPr>
            </w:pPr>
            <w:r>
              <w:rPr>
                <w:rFonts w:ascii="Times New Roman" w:cs="Times New Roman"/>
                <w:color w:val="auto"/>
                <w:kern w:val="2"/>
                <w:sz w:val="21"/>
                <w:szCs w:val="21"/>
              </w:rPr>
              <w:t>同</w:t>
            </w:r>
            <w:r>
              <w:rPr>
                <w:rFonts w:hint="eastAsia" w:ascii="Times New Roman" w:cs="Times New Roman"/>
                <w:color w:val="auto"/>
                <w:kern w:val="2"/>
                <w:sz w:val="21"/>
                <w:szCs w:val="21"/>
              </w:rPr>
              <w:t>比选文件</w:t>
            </w:r>
            <w:r>
              <w:rPr>
                <w:rFonts w:ascii="Times New Roman" w:cs="Times New Roman"/>
                <w:color w:val="auto"/>
                <w:kern w:val="2"/>
                <w:sz w:val="21"/>
                <w:szCs w:val="21"/>
              </w:rPr>
              <w:t>澄清发出的形式。</w:t>
            </w:r>
          </w:p>
        </w:tc>
      </w:tr>
      <w:tr w14:paraId="60C6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60" w:type="dxa"/>
            <w:vAlign w:val="center"/>
          </w:tcPr>
          <w:p w14:paraId="687F7F23">
            <w:pPr>
              <w:pStyle w:val="15"/>
              <w:spacing w:line="340" w:lineRule="exact"/>
              <w:jc w:val="center"/>
              <w:rPr>
                <w:rFonts w:cs="Courier New"/>
                <w:kern w:val="0"/>
              </w:rPr>
            </w:pPr>
            <w:r>
              <w:rPr>
                <w:rFonts w:hint="eastAsia" w:cs="Courier New"/>
                <w:kern w:val="0"/>
              </w:rPr>
              <w:t>15</w:t>
            </w:r>
          </w:p>
        </w:tc>
        <w:tc>
          <w:tcPr>
            <w:tcW w:w="2153" w:type="dxa"/>
            <w:vAlign w:val="center"/>
          </w:tcPr>
          <w:p w14:paraId="7E3D630A">
            <w:pPr>
              <w:pStyle w:val="15"/>
              <w:spacing w:line="340" w:lineRule="exact"/>
              <w:jc w:val="center"/>
              <w:rPr>
                <w:rFonts w:hint="eastAsia" w:hAnsi="宋体"/>
              </w:rPr>
            </w:pPr>
            <w:r>
              <w:rPr>
                <w:rFonts w:hint="eastAsia" w:hAnsi="宋体"/>
              </w:rPr>
              <w:t>踏勘现场</w:t>
            </w:r>
          </w:p>
        </w:tc>
        <w:tc>
          <w:tcPr>
            <w:tcW w:w="6212" w:type="dxa"/>
            <w:vAlign w:val="center"/>
          </w:tcPr>
          <w:p w14:paraId="140D641B">
            <w:pPr>
              <w:pStyle w:val="15"/>
              <w:spacing w:line="340" w:lineRule="exact"/>
              <w:rPr>
                <w:rFonts w:hint="eastAsia" w:hAnsi="宋体"/>
              </w:rPr>
            </w:pPr>
            <w:r>
              <w:rPr>
                <w:rFonts w:hint="eastAsia" w:hAnsi="宋体"/>
              </w:rPr>
              <w:t>不组织。比选申请人自行组织的，费用和安全自行负责。</w:t>
            </w:r>
          </w:p>
        </w:tc>
      </w:tr>
      <w:tr w14:paraId="3F4F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60" w:type="dxa"/>
            <w:vAlign w:val="center"/>
          </w:tcPr>
          <w:p w14:paraId="2C0C501B">
            <w:pPr>
              <w:pStyle w:val="15"/>
              <w:spacing w:line="340" w:lineRule="exact"/>
              <w:jc w:val="center"/>
              <w:rPr>
                <w:rFonts w:cs="Courier New"/>
                <w:kern w:val="0"/>
              </w:rPr>
            </w:pPr>
            <w:r>
              <w:rPr>
                <w:rFonts w:hint="eastAsia" w:cs="Courier New"/>
                <w:kern w:val="0"/>
              </w:rPr>
              <w:t>16</w:t>
            </w:r>
          </w:p>
        </w:tc>
        <w:tc>
          <w:tcPr>
            <w:tcW w:w="2153" w:type="dxa"/>
            <w:vAlign w:val="center"/>
          </w:tcPr>
          <w:p w14:paraId="6F69D4FA">
            <w:pPr>
              <w:pStyle w:val="15"/>
              <w:spacing w:line="340" w:lineRule="exact"/>
              <w:jc w:val="center"/>
              <w:rPr>
                <w:rFonts w:hint="eastAsia" w:hAnsi="宋体"/>
              </w:rPr>
            </w:pPr>
            <w:r>
              <w:rPr>
                <w:rFonts w:hint="eastAsia" w:hAnsi="宋体"/>
              </w:rPr>
              <w:t>比选预备会</w:t>
            </w:r>
          </w:p>
        </w:tc>
        <w:tc>
          <w:tcPr>
            <w:tcW w:w="6212" w:type="dxa"/>
            <w:vAlign w:val="center"/>
          </w:tcPr>
          <w:p w14:paraId="4A1C6B5D">
            <w:pPr>
              <w:pStyle w:val="15"/>
              <w:spacing w:line="340" w:lineRule="exact"/>
              <w:rPr>
                <w:rFonts w:hint="eastAsia" w:hAnsi="宋体"/>
              </w:rPr>
            </w:pPr>
            <w:r>
              <w:rPr>
                <w:rFonts w:hint="eastAsia" w:hAnsi="宋体"/>
              </w:rPr>
              <w:t>不召开。</w:t>
            </w:r>
          </w:p>
        </w:tc>
      </w:tr>
      <w:tr w14:paraId="79EE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60" w:type="dxa"/>
            <w:vAlign w:val="center"/>
          </w:tcPr>
          <w:p w14:paraId="6D07DF2D">
            <w:pPr>
              <w:pStyle w:val="15"/>
              <w:spacing w:line="340" w:lineRule="exact"/>
              <w:jc w:val="center"/>
              <w:rPr>
                <w:rFonts w:cs="Courier New"/>
                <w:kern w:val="0"/>
              </w:rPr>
            </w:pPr>
            <w:r>
              <w:rPr>
                <w:rFonts w:hint="eastAsia" w:cs="Courier New"/>
                <w:kern w:val="0"/>
              </w:rPr>
              <w:t>17</w:t>
            </w:r>
          </w:p>
        </w:tc>
        <w:tc>
          <w:tcPr>
            <w:tcW w:w="2153" w:type="dxa"/>
            <w:vAlign w:val="center"/>
          </w:tcPr>
          <w:p w14:paraId="6209AC1E">
            <w:pPr>
              <w:pStyle w:val="15"/>
              <w:spacing w:line="340" w:lineRule="exact"/>
              <w:jc w:val="center"/>
              <w:rPr>
                <w:rFonts w:hint="eastAsia" w:hAnsi="宋体"/>
              </w:rPr>
            </w:pPr>
            <w:r>
              <w:rPr>
                <w:rFonts w:hint="eastAsia" w:hAnsi="宋体"/>
              </w:rPr>
              <w:t>偏离</w:t>
            </w:r>
          </w:p>
        </w:tc>
        <w:tc>
          <w:tcPr>
            <w:tcW w:w="6212" w:type="dxa"/>
            <w:vAlign w:val="center"/>
          </w:tcPr>
          <w:p w14:paraId="281CF4F5">
            <w:pPr>
              <w:pStyle w:val="15"/>
              <w:spacing w:line="340" w:lineRule="exact"/>
              <w:rPr>
                <w:rFonts w:hint="eastAsia" w:hAnsi="宋体"/>
              </w:rPr>
            </w:pPr>
            <w:r>
              <w:rPr>
                <w:rFonts w:hint="eastAsia" w:hAnsi="宋体"/>
              </w:rPr>
              <w:t>比选文件要求的技术标准不允许偏离</w:t>
            </w:r>
          </w:p>
        </w:tc>
      </w:tr>
      <w:tr w14:paraId="3CED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0" w:type="dxa"/>
            <w:vAlign w:val="center"/>
          </w:tcPr>
          <w:p w14:paraId="41CFFB41">
            <w:pPr>
              <w:pStyle w:val="15"/>
              <w:spacing w:line="340" w:lineRule="exact"/>
              <w:jc w:val="center"/>
              <w:rPr>
                <w:rFonts w:cs="Courier New"/>
                <w:kern w:val="0"/>
              </w:rPr>
            </w:pPr>
            <w:r>
              <w:rPr>
                <w:rFonts w:hint="eastAsia" w:cs="Courier New"/>
                <w:kern w:val="0"/>
              </w:rPr>
              <w:t>18</w:t>
            </w:r>
          </w:p>
        </w:tc>
        <w:tc>
          <w:tcPr>
            <w:tcW w:w="2153" w:type="dxa"/>
            <w:vAlign w:val="center"/>
          </w:tcPr>
          <w:p w14:paraId="62E6C28E">
            <w:pPr>
              <w:pStyle w:val="15"/>
              <w:adjustRightInd w:val="0"/>
              <w:snapToGrid w:val="0"/>
              <w:spacing w:line="360" w:lineRule="exact"/>
              <w:jc w:val="center"/>
              <w:rPr>
                <w:rFonts w:hint="eastAsia" w:hAnsi="宋体"/>
              </w:rPr>
            </w:pPr>
            <w:r>
              <w:rPr>
                <w:rFonts w:hint="eastAsia" w:hAnsi="宋体"/>
              </w:rPr>
              <w:t>比选申请文件的组成</w:t>
            </w:r>
          </w:p>
        </w:tc>
        <w:tc>
          <w:tcPr>
            <w:tcW w:w="6212" w:type="dxa"/>
            <w:vAlign w:val="center"/>
          </w:tcPr>
          <w:p w14:paraId="49C2A88A">
            <w:pPr>
              <w:widowControl/>
              <w:spacing w:line="420" w:lineRule="exact"/>
              <w:jc w:val="left"/>
              <w:rPr>
                <w:rFonts w:eastAsiaTheme="minorEastAsia"/>
                <w:kern w:val="0"/>
                <w:szCs w:val="21"/>
              </w:rPr>
            </w:pPr>
            <w:r>
              <w:rPr>
                <w:rFonts w:hint="eastAsia" w:eastAsiaTheme="minorEastAsia"/>
                <w:kern w:val="0"/>
                <w:szCs w:val="21"/>
              </w:rPr>
              <w:t>（一）比选申请函及附录</w:t>
            </w:r>
          </w:p>
          <w:p w14:paraId="4BC87FA3">
            <w:pPr>
              <w:widowControl/>
              <w:spacing w:line="420" w:lineRule="exact"/>
              <w:jc w:val="left"/>
              <w:rPr>
                <w:rFonts w:eastAsiaTheme="minorEastAsia"/>
                <w:kern w:val="0"/>
                <w:szCs w:val="21"/>
              </w:rPr>
            </w:pPr>
            <w:r>
              <w:rPr>
                <w:rFonts w:hint="eastAsia" w:eastAsiaTheme="minorEastAsia"/>
                <w:kern w:val="0"/>
                <w:szCs w:val="21"/>
              </w:rPr>
              <w:t>（二）法定代表人身份证明及授权委托书</w:t>
            </w:r>
          </w:p>
          <w:p w14:paraId="65D57152">
            <w:pPr>
              <w:widowControl/>
              <w:spacing w:line="420" w:lineRule="exact"/>
              <w:jc w:val="left"/>
              <w:rPr>
                <w:rFonts w:eastAsiaTheme="minorEastAsia"/>
                <w:kern w:val="0"/>
                <w:szCs w:val="21"/>
              </w:rPr>
            </w:pPr>
            <w:r>
              <w:rPr>
                <w:rFonts w:hint="eastAsia" w:eastAsiaTheme="minorEastAsia"/>
                <w:kern w:val="0"/>
                <w:szCs w:val="21"/>
              </w:rPr>
              <w:t>（三）技术方案</w:t>
            </w:r>
          </w:p>
          <w:p w14:paraId="48694037">
            <w:pPr>
              <w:widowControl/>
              <w:spacing w:line="420" w:lineRule="exact"/>
              <w:jc w:val="left"/>
              <w:rPr>
                <w:rFonts w:eastAsiaTheme="minorEastAsia"/>
                <w:kern w:val="0"/>
                <w:szCs w:val="21"/>
              </w:rPr>
            </w:pPr>
            <w:r>
              <w:rPr>
                <w:rFonts w:hint="eastAsia" w:eastAsiaTheme="minorEastAsia"/>
                <w:kern w:val="0"/>
                <w:szCs w:val="21"/>
              </w:rPr>
              <w:t>（四）资格审查资料</w:t>
            </w:r>
          </w:p>
          <w:p w14:paraId="08D14744">
            <w:pPr>
              <w:widowControl/>
              <w:spacing w:line="420" w:lineRule="exact"/>
              <w:jc w:val="left"/>
              <w:rPr>
                <w:rFonts w:eastAsiaTheme="minorEastAsia"/>
                <w:kern w:val="0"/>
                <w:szCs w:val="21"/>
              </w:rPr>
            </w:pPr>
            <w:r>
              <w:rPr>
                <w:rFonts w:hint="eastAsia" w:eastAsiaTheme="minorEastAsia"/>
                <w:kern w:val="0"/>
                <w:szCs w:val="21"/>
              </w:rPr>
              <w:t>（五）其他资料</w:t>
            </w:r>
          </w:p>
          <w:p w14:paraId="5FA7A18A">
            <w:pPr>
              <w:widowControl/>
              <w:spacing w:line="420" w:lineRule="exact"/>
              <w:jc w:val="left"/>
              <w:rPr>
                <w:rFonts w:hint="eastAsia" w:eastAsiaTheme="minorEastAsia"/>
                <w:kern w:val="0"/>
                <w:szCs w:val="21"/>
              </w:rPr>
            </w:pPr>
            <w:r>
              <w:rPr>
                <w:rFonts w:hint="eastAsia" w:eastAsiaTheme="minorEastAsia"/>
                <w:kern w:val="0"/>
                <w:szCs w:val="21"/>
              </w:rPr>
              <w:t>（六）费用报价单</w:t>
            </w:r>
          </w:p>
          <w:p w14:paraId="5AEA8960">
            <w:pPr>
              <w:widowControl/>
              <w:spacing w:line="420" w:lineRule="exact"/>
              <w:jc w:val="left"/>
              <w:rPr>
                <w:rFonts w:hint="eastAsia" w:eastAsiaTheme="minorEastAsia"/>
                <w:lang w:eastAsia="zh-CN"/>
              </w:rPr>
            </w:pPr>
            <w:r>
              <w:rPr>
                <w:rFonts w:hint="eastAsia" w:eastAsiaTheme="minorEastAsia"/>
                <w:kern w:val="0"/>
                <w:szCs w:val="21"/>
                <w:lang w:eastAsia="zh-CN"/>
              </w:rPr>
              <w:t>（</w:t>
            </w:r>
            <w:r>
              <w:rPr>
                <w:rFonts w:hint="eastAsia" w:eastAsiaTheme="minorEastAsia"/>
                <w:kern w:val="0"/>
                <w:szCs w:val="21"/>
                <w:lang w:val="en-US" w:eastAsia="zh-CN"/>
              </w:rPr>
              <w:t>七</w:t>
            </w:r>
            <w:r>
              <w:rPr>
                <w:rFonts w:hint="eastAsia" w:eastAsiaTheme="minorEastAsia"/>
                <w:kern w:val="0"/>
                <w:szCs w:val="21"/>
                <w:lang w:eastAsia="zh-CN"/>
              </w:rPr>
              <w:t>）</w:t>
            </w:r>
            <w:r>
              <w:rPr>
                <w:rFonts w:hint="eastAsia" w:ascii="Times New Roman" w:hAnsi="Times New Roman" w:cs="Times New Roman" w:eastAsiaTheme="minorEastAsia"/>
                <w:kern w:val="0"/>
                <w:sz w:val="21"/>
                <w:szCs w:val="21"/>
              </w:rPr>
              <w:t>设备</w:t>
            </w:r>
            <w:r>
              <w:rPr>
                <w:rFonts w:hint="eastAsia" w:ascii="Times New Roman" w:hAnsi="Times New Roman" w:cs="Times New Roman" w:eastAsiaTheme="minorEastAsia"/>
                <w:kern w:val="0"/>
                <w:sz w:val="21"/>
                <w:szCs w:val="21"/>
                <w:lang w:val="en-US" w:eastAsia="zh-CN"/>
              </w:rPr>
              <w:t>主要参数和要求</w:t>
            </w:r>
            <w:r>
              <w:rPr>
                <w:rFonts w:hint="eastAsia" w:ascii="Times New Roman" w:hAnsi="Times New Roman" w:cs="Times New Roman" w:eastAsiaTheme="minorEastAsia"/>
                <w:kern w:val="0"/>
                <w:sz w:val="21"/>
                <w:szCs w:val="21"/>
              </w:rPr>
              <w:t>响应表</w:t>
            </w:r>
          </w:p>
        </w:tc>
      </w:tr>
      <w:tr w14:paraId="483A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960" w:type="dxa"/>
            <w:vAlign w:val="center"/>
          </w:tcPr>
          <w:p w14:paraId="7014C5E3">
            <w:pPr>
              <w:pStyle w:val="15"/>
              <w:spacing w:line="320" w:lineRule="exact"/>
              <w:jc w:val="center"/>
              <w:rPr>
                <w:rFonts w:hint="eastAsia" w:hAnsi="宋体"/>
              </w:rPr>
            </w:pPr>
            <w:r>
              <w:rPr>
                <w:rFonts w:hint="eastAsia" w:hAnsi="宋体"/>
              </w:rPr>
              <w:t>19</w:t>
            </w:r>
          </w:p>
        </w:tc>
        <w:tc>
          <w:tcPr>
            <w:tcW w:w="2153" w:type="dxa"/>
            <w:vAlign w:val="center"/>
          </w:tcPr>
          <w:p w14:paraId="67F89298">
            <w:pPr>
              <w:pStyle w:val="15"/>
              <w:spacing w:line="320" w:lineRule="exact"/>
              <w:jc w:val="center"/>
              <w:rPr>
                <w:rFonts w:hint="eastAsia" w:hAnsi="宋体"/>
              </w:rPr>
            </w:pPr>
            <w:r>
              <w:rPr>
                <w:rFonts w:hint="eastAsia" w:hAnsi="宋体"/>
              </w:rPr>
              <w:t>增值税税金的计算</w:t>
            </w:r>
          </w:p>
          <w:p w14:paraId="461CB83F">
            <w:pPr>
              <w:pStyle w:val="15"/>
              <w:spacing w:line="320" w:lineRule="exact"/>
              <w:jc w:val="center"/>
              <w:rPr>
                <w:rFonts w:hint="eastAsia" w:hAnsi="宋体"/>
              </w:rPr>
            </w:pPr>
            <w:r>
              <w:rPr>
                <w:rFonts w:hint="eastAsia" w:hAnsi="宋体"/>
              </w:rPr>
              <w:t>方法</w:t>
            </w:r>
          </w:p>
        </w:tc>
        <w:tc>
          <w:tcPr>
            <w:tcW w:w="6212" w:type="dxa"/>
            <w:vAlign w:val="center"/>
          </w:tcPr>
          <w:p w14:paraId="56D5195C">
            <w:pPr>
              <w:widowControl/>
              <w:spacing w:line="420" w:lineRule="exact"/>
              <w:jc w:val="left"/>
              <w:rPr>
                <w:rFonts w:eastAsiaTheme="minorEastAsia"/>
                <w:kern w:val="0"/>
                <w:szCs w:val="21"/>
              </w:rPr>
            </w:pPr>
            <w:r>
              <w:rPr>
                <w:rFonts w:hint="eastAsia" w:eastAsiaTheme="minorEastAsia"/>
                <w:kern w:val="0"/>
                <w:szCs w:val="21"/>
              </w:rPr>
              <w:t>一般计税办法，比选申请报价为含税价。</w:t>
            </w:r>
          </w:p>
        </w:tc>
      </w:tr>
      <w:tr w14:paraId="7C5A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60" w:type="dxa"/>
            <w:vAlign w:val="center"/>
          </w:tcPr>
          <w:p w14:paraId="10346E95">
            <w:pPr>
              <w:pStyle w:val="15"/>
              <w:spacing w:line="320" w:lineRule="exact"/>
              <w:jc w:val="center"/>
              <w:rPr>
                <w:rFonts w:hint="eastAsia" w:hAnsi="宋体" w:cs="Courier New"/>
              </w:rPr>
            </w:pPr>
            <w:r>
              <w:rPr>
                <w:rFonts w:hint="eastAsia" w:hAnsi="宋体" w:cs="Courier New"/>
              </w:rPr>
              <w:t>20</w:t>
            </w:r>
          </w:p>
        </w:tc>
        <w:tc>
          <w:tcPr>
            <w:tcW w:w="2153" w:type="dxa"/>
            <w:vAlign w:val="center"/>
          </w:tcPr>
          <w:p w14:paraId="46830FE3">
            <w:pPr>
              <w:pStyle w:val="15"/>
              <w:spacing w:line="320" w:lineRule="exact"/>
              <w:jc w:val="center"/>
              <w:rPr>
                <w:rFonts w:hint="eastAsia" w:hAnsi="宋体" w:cs="Courier New"/>
              </w:rPr>
            </w:pPr>
            <w:r>
              <w:rPr>
                <w:rFonts w:hint="eastAsia" w:hAnsi="宋体" w:cs="Courier New"/>
              </w:rPr>
              <w:t>报价方式</w:t>
            </w:r>
          </w:p>
        </w:tc>
        <w:tc>
          <w:tcPr>
            <w:tcW w:w="6212" w:type="dxa"/>
            <w:vAlign w:val="center"/>
          </w:tcPr>
          <w:p w14:paraId="2D05556D">
            <w:pPr>
              <w:pStyle w:val="15"/>
              <w:spacing w:line="360" w:lineRule="auto"/>
              <w:rPr>
                <w:rFonts w:hint="eastAsia" w:hAnsi="宋体"/>
              </w:rPr>
            </w:pPr>
            <w:r>
              <w:rPr>
                <w:rFonts w:hint="eastAsia" w:hAnsi="宋体"/>
              </w:rPr>
              <w:sym w:font="Wingdings 2" w:char="0052"/>
            </w:r>
            <w:r>
              <w:rPr>
                <w:rFonts w:hint="eastAsia" w:hAnsi="宋体"/>
              </w:rPr>
              <w:t>含税总价；</w:t>
            </w:r>
          </w:p>
          <w:p w14:paraId="40AB07E5">
            <w:pPr>
              <w:pStyle w:val="15"/>
              <w:spacing w:line="360" w:lineRule="auto"/>
              <w:rPr>
                <w:rFonts w:hint="eastAsia" w:hAnsi="宋体"/>
              </w:rPr>
            </w:pPr>
            <w:r>
              <w:rPr>
                <w:rFonts w:hint="eastAsia" w:hAnsi="宋体"/>
              </w:rPr>
              <w:sym w:font="Wingdings" w:char="00A8"/>
            </w:r>
            <w:r>
              <w:rPr>
                <w:rFonts w:hint="eastAsia" w:hAnsi="宋体"/>
              </w:rPr>
              <w:t>降幅比例；</w:t>
            </w:r>
          </w:p>
        </w:tc>
      </w:tr>
      <w:tr w14:paraId="28A9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0" w:type="dxa"/>
            <w:vAlign w:val="center"/>
          </w:tcPr>
          <w:p w14:paraId="3F7BFD47">
            <w:pPr>
              <w:pStyle w:val="15"/>
              <w:spacing w:line="340" w:lineRule="exact"/>
              <w:jc w:val="center"/>
              <w:rPr>
                <w:rFonts w:hint="eastAsia" w:hAnsi="宋体"/>
              </w:rPr>
            </w:pPr>
            <w:r>
              <w:rPr>
                <w:rFonts w:hint="eastAsia" w:hAnsi="宋体" w:cs="Courier New"/>
              </w:rPr>
              <w:t>21</w:t>
            </w:r>
          </w:p>
        </w:tc>
        <w:tc>
          <w:tcPr>
            <w:tcW w:w="2153" w:type="dxa"/>
            <w:vAlign w:val="center"/>
          </w:tcPr>
          <w:p w14:paraId="12B056C0">
            <w:pPr>
              <w:spacing w:line="360" w:lineRule="auto"/>
              <w:jc w:val="center"/>
              <w:rPr>
                <w:rFonts w:hint="eastAsia" w:hAnsi="宋体"/>
              </w:rPr>
            </w:pPr>
            <w:r>
              <w:rPr>
                <w:color w:val="000000"/>
                <w:szCs w:val="21"/>
              </w:rPr>
              <w:t>构成</w:t>
            </w:r>
            <w:r>
              <w:rPr>
                <w:rFonts w:hint="eastAsia"/>
                <w:color w:val="000000"/>
                <w:szCs w:val="21"/>
              </w:rPr>
              <w:t>比选申请文件</w:t>
            </w:r>
            <w:r>
              <w:rPr>
                <w:color w:val="000000"/>
                <w:szCs w:val="21"/>
              </w:rPr>
              <w:t>的其他材料</w:t>
            </w:r>
          </w:p>
        </w:tc>
        <w:tc>
          <w:tcPr>
            <w:tcW w:w="6212" w:type="dxa"/>
            <w:vAlign w:val="center"/>
          </w:tcPr>
          <w:p w14:paraId="11FCC1F2">
            <w:pPr>
              <w:spacing w:line="420" w:lineRule="exact"/>
              <w:rPr>
                <w:rFonts w:hint="eastAsia" w:hAnsi="宋体"/>
              </w:rPr>
            </w:pPr>
            <w:r>
              <w:rPr>
                <w:kern w:val="0"/>
                <w:szCs w:val="21"/>
              </w:rPr>
              <w:t>见“第</w:t>
            </w:r>
            <w:r>
              <w:rPr>
                <w:rFonts w:hint="eastAsia"/>
                <w:kern w:val="0"/>
                <w:szCs w:val="21"/>
              </w:rPr>
              <w:t>七</w:t>
            </w:r>
            <w:r>
              <w:rPr>
                <w:kern w:val="0"/>
                <w:szCs w:val="21"/>
              </w:rPr>
              <w:t xml:space="preserve">章 </w:t>
            </w:r>
            <w:r>
              <w:rPr>
                <w:rFonts w:hint="eastAsia"/>
                <w:kern w:val="0"/>
                <w:szCs w:val="21"/>
              </w:rPr>
              <w:t>比选申请文件</w:t>
            </w:r>
            <w:r>
              <w:rPr>
                <w:kern w:val="0"/>
                <w:szCs w:val="21"/>
              </w:rPr>
              <w:t>格式”</w:t>
            </w:r>
          </w:p>
        </w:tc>
      </w:tr>
      <w:tr w14:paraId="2844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960" w:type="dxa"/>
            <w:vAlign w:val="center"/>
          </w:tcPr>
          <w:p w14:paraId="782161C6">
            <w:pPr>
              <w:pStyle w:val="15"/>
              <w:spacing w:line="340" w:lineRule="exact"/>
              <w:jc w:val="center"/>
              <w:rPr>
                <w:rFonts w:hint="eastAsia" w:hAnsi="宋体" w:cs="Courier New"/>
              </w:rPr>
            </w:pPr>
            <w:r>
              <w:rPr>
                <w:rFonts w:hint="eastAsia" w:hAnsi="宋体" w:cs="Courier New"/>
              </w:rPr>
              <w:t>22</w:t>
            </w:r>
          </w:p>
        </w:tc>
        <w:tc>
          <w:tcPr>
            <w:tcW w:w="2153" w:type="dxa"/>
            <w:vAlign w:val="center"/>
          </w:tcPr>
          <w:p w14:paraId="33B0ECBB">
            <w:pPr>
              <w:pStyle w:val="15"/>
              <w:spacing w:line="320" w:lineRule="exact"/>
              <w:jc w:val="center"/>
              <w:rPr>
                <w:rFonts w:hint="eastAsia" w:hAnsi="宋体"/>
                <w:b/>
                <w:bCs/>
                <w:sz w:val="20"/>
                <w:szCs w:val="20"/>
              </w:rPr>
            </w:pPr>
            <w:r>
              <w:rPr>
                <w:rFonts w:hint="eastAsia" w:ascii="Times New Roman" w:hAnsi="Times New Roman"/>
              </w:rPr>
              <w:t>★</w:t>
            </w:r>
            <w:r>
              <w:rPr>
                <w:rFonts w:hint="eastAsia" w:hAnsi="宋体" w:cs="Courier New"/>
              </w:rPr>
              <w:t>最高比选申请限价</w:t>
            </w:r>
          </w:p>
        </w:tc>
        <w:tc>
          <w:tcPr>
            <w:tcW w:w="6212" w:type="dxa"/>
            <w:vAlign w:val="center"/>
          </w:tcPr>
          <w:p w14:paraId="257688E5">
            <w:pPr>
              <w:widowControl/>
              <w:spacing w:line="420" w:lineRule="exact"/>
              <w:jc w:val="left"/>
              <w:rPr>
                <w:rFonts w:eastAsiaTheme="minorEastAsia"/>
                <w:kern w:val="0"/>
                <w:szCs w:val="21"/>
              </w:rPr>
            </w:pPr>
            <w:r>
              <w:rPr>
                <w:rFonts w:hint="eastAsia" w:eastAsiaTheme="minorEastAsia"/>
                <w:b/>
                <w:bCs/>
                <w:kern w:val="0"/>
                <w:szCs w:val="21"/>
              </w:rPr>
              <w:t>1.最高比选申请限价为：含税人民币</w:t>
            </w:r>
            <w:r>
              <w:rPr>
                <w:rFonts w:hint="eastAsia" w:eastAsiaTheme="minorEastAsia"/>
                <w:b/>
                <w:bCs/>
                <w:kern w:val="0"/>
                <w:sz w:val="21"/>
                <w:szCs w:val="21"/>
                <w:lang w:val="en-US" w:eastAsia="zh-CN"/>
              </w:rPr>
              <w:t>35万</w:t>
            </w:r>
            <w:r>
              <w:rPr>
                <w:rFonts w:hint="eastAsia" w:eastAsiaTheme="minorEastAsia"/>
                <w:b/>
                <w:bCs/>
                <w:kern w:val="0"/>
                <w:szCs w:val="21"/>
              </w:rPr>
              <w:t>元。（大写：</w:t>
            </w:r>
            <w:r>
              <w:rPr>
                <w:rFonts w:hint="eastAsia" w:eastAsiaTheme="minorEastAsia"/>
                <w:b/>
                <w:bCs/>
                <w:kern w:val="0"/>
                <w:szCs w:val="21"/>
                <w:lang w:val="en-US" w:eastAsia="zh-CN"/>
              </w:rPr>
              <w:t>叁</w:t>
            </w:r>
            <w:r>
              <w:rPr>
                <w:rFonts w:hint="eastAsia" w:eastAsiaTheme="minorEastAsia"/>
                <w:b/>
                <w:bCs/>
                <w:kern w:val="0"/>
                <w:szCs w:val="21"/>
              </w:rPr>
              <w:t>拾</w:t>
            </w:r>
            <w:r>
              <w:rPr>
                <w:rFonts w:hint="eastAsia" w:eastAsiaTheme="minorEastAsia"/>
                <w:b/>
                <w:bCs/>
                <w:kern w:val="0"/>
                <w:szCs w:val="21"/>
                <w:lang w:val="en-US" w:eastAsia="zh-CN"/>
              </w:rPr>
              <w:t>伍</w:t>
            </w:r>
            <w:r>
              <w:rPr>
                <w:rFonts w:hint="eastAsia" w:eastAsiaTheme="minorEastAsia"/>
                <w:b/>
                <w:bCs/>
                <w:kern w:val="0"/>
                <w:szCs w:val="21"/>
              </w:rPr>
              <w:t>万元</w:t>
            </w:r>
            <w:r>
              <w:rPr>
                <w:rFonts w:hint="eastAsia" w:eastAsiaTheme="minorEastAsia"/>
                <w:b/>
                <w:bCs/>
                <w:kern w:val="0"/>
                <w:szCs w:val="21"/>
                <w:lang w:val="en-US" w:eastAsia="zh-CN"/>
              </w:rPr>
              <w:t>整</w:t>
            </w:r>
            <w:r>
              <w:rPr>
                <w:rFonts w:hint="eastAsia" w:eastAsiaTheme="minorEastAsia"/>
                <w:b/>
                <w:bCs/>
                <w:kern w:val="0"/>
                <w:szCs w:val="21"/>
              </w:rPr>
              <w:t>）。详见比选文件第六章 费用</w:t>
            </w:r>
            <w:r>
              <w:rPr>
                <w:rFonts w:hint="eastAsia" w:eastAsiaTheme="minorEastAsia"/>
                <w:b/>
                <w:bCs/>
                <w:kern w:val="0"/>
                <w:szCs w:val="21"/>
                <w:lang w:val="en-US" w:eastAsia="zh-CN"/>
              </w:rPr>
              <w:t>清单</w:t>
            </w:r>
            <w:r>
              <w:rPr>
                <w:rFonts w:hint="eastAsia" w:eastAsiaTheme="minorEastAsia"/>
                <w:b/>
                <w:bCs/>
                <w:kern w:val="0"/>
                <w:szCs w:val="21"/>
              </w:rPr>
              <w:t>。</w:t>
            </w:r>
          </w:p>
          <w:p w14:paraId="5A5FCCE3">
            <w:pPr>
              <w:spacing w:line="420" w:lineRule="exact"/>
              <w:rPr>
                <w:rFonts w:hint="eastAsia" w:hAnsi="宋体"/>
                <w:b/>
                <w:bCs/>
              </w:rPr>
            </w:pPr>
            <w:r>
              <w:rPr>
                <w:rFonts w:hint="eastAsia" w:eastAsiaTheme="minorEastAsia"/>
                <w:kern w:val="0"/>
                <w:szCs w:val="21"/>
              </w:rPr>
              <w:t>2.比选申请报价不得超过比选人公布的最高比选申请限价，否则按否决比选申请处理。</w:t>
            </w:r>
          </w:p>
        </w:tc>
      </w:tr>
      <w:tr w14:paraId="3C4E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60" w:type="dxa"/>
            <w:vAlign w:val="center"/>
          </w:tcPr>
          <w:p w14:paraId="5442245C">
            <w:pPr>
              <w:pStyle w:val="15"/>
              <w:spacing w:line="340" w:lineRule="exact"/>
              <w:jc w:val="center"/>
              <w:rPr>
                <w:rFonts w:hint="eastAsia" w:hAnsi="宋体"/>
              </w:rPr>
            </w:pPr>
            <w:r>
              <w:rPr>
                <w:rFonts w:hint="eastAsia" w:hAnsi="宋体"/>
              </w:rPr>
              <w:t>23</w:t>
            </w:r>
          </w:p>
        </w:tc>
        <w:tc>
          <w:tcPr>
            <w:tcW w:w="2153" w:type="dxa"/>
            <w:vAlign w:val="center"/>
          </w:tcPr>
          <w:p w14:paraId="0879B6E4">
            <w:pPr>
              <w:pStyle w:val="15"/>
              <w:spacing w:line="340" w:lineRule="exact"/>
              <w:jc w:val="center"/>
              <w:rPr>
                <w:rFonts w:hint="eastAsia" w:hAnsi="宋体"/>
              </w:rPr>
            </w:pPr>
            <w:r>
              <w:rPr>
                <w:rFonts w:hint="eastAsia" w:ascii="Times New Roman" w:hAnsi="Times New Roman"/>
              </w:rPr>
              <w:t>★</w:t>
            </w:r>
            <w:r>
              <w:rPr>
                <w:rFonts w:hint="eastAsia" w:hAnsi="宋体"/>
              </w:rPr>
              <w:t>比选申请有效期</w:t>
            </w:r>
          </w:p>
        </w:tc>
        <w:tc>
          <w:tcPr>
            <w:tcW w:w="6212" w:type="dxa"/>
            <w:vAlign w:val="center"/>
          </w:tcPr>
          <w:p w14:paraId="4069F7A9">
            <w:pPr>
              <w:pStyle w:val="15"/>
              <w:spacing w:line="340" w:lineRule="exact"/>
              <w:rPr>
                <w:rFonts w:hint="eastAsia" w:hAnsi="宋体"/>
              </w:rPr>
            </w:pPr>
            <w:r>
              <w:rPr>
                <w:rFonts w:hint="eastAsia" w:ascii="Times New Roman" w:hAnsi="Times New Roman"/>
              </w:rPr>
              <w:t>自</w:t>
            </w:r>
            <w:r>
              <w:rPr>
                <w:rFonts w:hint="eastAsia" w:ascii="Times New Roman" w:hAnsi="Times New Roman"/>
                <w:kern w:val="0"/>
              </w:rPr>
              <w:t>比选申请</w:t>
            </w:r>
            <w:r>
              <w:rPr>
                <w:rFonts w:ascii="Times New Roman" w:hAnsi="Times New Roman"/>
                <w:kern w:val="0"/>
              </w:rPr>
              <w:t>文件递交截止时间</w:t>
            </w:r>
            <w:r>
              <w:rPr>
                <w:rFonts w:hint="eastAsia" w:ascii="Times New Roman" w:hAnsi="Times New Roman"/>
              </w:rPr>
              <w:t>起计算</w:t>
            </w:r>
            <w:r>
              <w:rPr>
                <w:rFonts w:hint="eastAsia" w:ascii="Times New Roman" w:hAnsi="Times New Roman"/>
                <w:u w:val="single"/>
              </w:rPr>
              <w:t>9</w:t>
            </w:r>
            <w:r>
              <w:rPr>
                <w:rFonts w:ascii="Times New Roman" w:hAnsi="Times New Roman"/>
                <w:u w:val="single"/>
              </w:rPr>
              <w:t>0</w:t>
            </w:r>
            <w:r>
              <w:rPr>
                <w:rFonts w:hint="eastAsia" w:ascii="Times New Roman" w:hAnsi="Times New Roman"/>
              </w:rPr>
              <w:t>天</w:t>
            </w:r>
          </w:p>
        </w:tc>
      </w:tr>
      <w:tr w14:paraId="1703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0" w:type="dxa"/>
            <w:vAlign w:val="center"/>
          </w:tcPr>
          <w:p w14:paraId="377596E5">
            <w:pPr>
              <w:pStyle w:val="15"/>
              <w:spacing w:line="340" w:lineRule="exact"/>
              <w:jc w:val="center"/>
              <w:rPr>
                <w:rFonts w:hint="eastAsia" w:hAnsi="宋体"/>
              </w:rPr>
            </w:pPr>
            <w:r>
              <w:rPr>
                <w:rFonts w:hint="eastAsia" w:hAnsi="宋体"/>
              </w:rPr>
              <w:t>24</w:t>
            </w:r>
          </w:p>
        </w:tc>
        <w:tc>
          <w:tcPr>
            <w:tcW w:w="2153" w:type="dxa"/>
            <w:vAlign w:val="center"/>
          </w:tcPr>
          <w:p w14:paraId="352AAC8E">
            <w:pPr>
              <w:spacing w:line="360" w:lineRule="auto"/>
              <w:jc w:val="center"/>
              <w:rPr>
                <w:szCs w:val="21"/>
              </w:rPr>
            </w:pPr>
            <w:r>
              <w:rPr>
                <w:b/>
                <w:szCs w:val="21"/>
              </w:rPr>
              <w:t>★</w:t>
            </w:r>
            <w:r>
              <w:rPr>
                <w:szCs w:val="21"/>
              </w:rPr>
              <w:t>报价唯一</w:t>
            </w:r>
          </w:p>
        </w:tc>
        <w:tc>
          <w:tcPr>
            <w:tcW w:w="6212" w:type="dxa"/>
            <w:vAlign w:val="center"/>
          </w:tcPr>
          <w:p w14:paraId="412A8380">
            <w:pPr>
              <w:spacing w:line="420" w:lineRule="exact"/>
              <w:rPr>
                <w:szCs w:val="21"/>
              </w:rPr>
            </w:pPr>
            <w:r>
              <w:rPr>
                <w:rFonts w:hint="eastAsia" w:eastAsiaTheme="minorEastAsia"/>
                <w:kern w:val="0"/>
                <w:szCs w:val="21"/>
              </w:rPr>
              <w:t>本次比选报价为一次性报价；只能有一个有效报价，不能进行选择性报价；不接受具有附加条件的报价；不接受报价外的额外优惠、特殊优惠及赠送（或零报价）等报价方式</w:t>
            </w:r>
          </w:p>
        </w:tc>
      </w:tr>
      <w:tr w14:paraId="504B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vAlign w:val="center"/>
          </w:tcPr>
          <w:p w14:paraId="00AB824A">
            <w:pPr>
              <w:pStyle w:val="15"/>
              <w:spacing w:line="320" w:lineRule="exact"/>
              <w:jc w:val="center"/>
              <w:rPr>
                <w:rFonts w:hint="eastAsia" w:hAnsi="宋体"/>
              </w:rPr>
            </w:pPr>
            <w:r>
              <w:rPr>
                <w:rFonts w:hint="eastAsia" w:hAnsi="宋体"/>
              </w:rPr>
              <w:t>25</w:t>
            </w:r>
          </w:p>
        </w:tc>
        <w:tc>
          <w:tcPr>
            <w:tcW w:w="2153" w:type="dxa"/>
            <w:vAlign w:val="center"/>
          </w:tcPr>
          <w:p w14:paraId="4EB21092">
            <w:pPr>
              <w:spacing w:line="360" w:lineRule="auto"/>
              <w:ind w:left="17" w:leftChars="8"/>
              <w:jc w:val="center"/>
            </w:pPr>
            <w:r>
              <w:rPr>
                <w:rFonts w:hint="eastAsia"/>
              </w:rPr>
              <w:t>★比选申请文件递交截止时间</w:t>
            </w:r>
          </w:p>
        </w:tc>
        <w:tc>
          <w:tcPr>
            <w:tcW w:w="6212" w:type="dxa"/>
            <w:vAlign w:val="center"/>
          </w:tcPr>
          <w:p w14:paraId="20329A04">
            <w:pPr>
              <w:spacing w:line="360" w:lineRule="auto"/>
              <w:ind w:left="17" w:leftChars="8"/>
            </w:pPr>
            <w:r>
              <w:rPr>
                <w:rFonts w:hint="eastAsia"/>
                <w:lang w:eastAsia="zh-CN"/>
              </w:rPr>
              <w:t>2025年</w:t>
            </w:r>
            <w:r>
              <w:rPr>
                <w:rFonts w:hint="eastAsia"/>
                <w:lang w:val="en-US" w:eastAsia="zh-CN"/>
              </w:rPr>
              <w:t>6</w:t>
            </w:r>
            <w:r>
              <w:rPr>
                <w:rFonts w:hint="eastAsia"/>
              </w:rPr>
              <w:t>月</w:t>
            </w:r>
            <w:r>
              <w:rPr>
                <w:rFonts w:hint="eastAsia"/>
                <w:lang w:val="en-US" w:eastAsia="zh-CN"/>
              </w:rPr>
              <w:t>13</w:t>
            </w:r>
            <w:r>
              <w:rPr>
                <w:rFonts w:hint="eastAsia"/>
              </w:rPr>
              <w:t>日</w:t>
            </w:r>
            <w:r>
              <w:rPr>
                <w:rFonts w:hint="eastAsia"/>
                <w:lang w:val="en-US" w:eastAsia="zh-CN"/>
              </w:rPr>
              <w:t>9</w:t>
            </w:r>
            <w:r>
              <w:rPr>
                <w:rFonts w:hint="eastAsia"/>
              </w:rPr>
              <w:t>时</w:t>
            </w:r>
            <w:r>
              <w:rPr>
                <w:rFonts w:hint="eastAsia"/>
                <w:lang w:val="en-US" w:eastAsia="zh-CN"/>
              </w:rPr>
              <w:t>30</w:t>
            </w:r>
            <w:r>
              <w:rPr>
                <w:rFonts w:hint="eastAsia"/>
              </w:rPr>
              <w:t>分（北京时间）</w:t>
            </w:r>
          </w:p>
        </w:tc>
      </w:tr>
      <w:tr w14:paraId="4BC9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vAlign w:val="center"/>
          </w:tcPr>
          <w:p w14:paraId="76320EA8">
            <w:pPr>
              <w:pStyle w:val="15"/>
              <w:spacing w:line="320" w:lineRule="exact"/>
              <w:jc w:val="center"/>
              <w:rPr>
                <w:rFonts w:hint="eastAsia" w:hAnsi="宋体"/>
              </w:rPr>
            </w:pPr>
            <w:r>
              <w:rPr>
                <w:rFonts w:hint="eastAsia" w:hAnsi="宋体"/>
              </w:rPr>
              <w:t>26</w:t>
            </w:r>
          </w:p>
        </w:tc>
        <w:tc>
          <w:tcPr>
            <w:tcW w:w="2153" w:type="dxa"/>
            <w:vAlign w:val="center"/>
          </w:tcPr>
          <w:p w14:paraId="79694C39">
            <w:pPr>
              <w:pStyle w:val="15"/>
              <w:spacing w:line="320" w:lineRule="exact"/>
              <w:jc w:val="center"/>
              <w:rPr>
                <w:rFonts w:hint="eastAsia" w:hAnsi="宋体"/>
              </w:rPr>
            </w:pPr>
            <w:r>
              <w:rPr>
                <w:rFonts w:hint="eastAsia" w:ascii="Times New Roman" w:hAnsi="Times New Roman"/>
              </w:rPr>
              <w:t>★</w:t>
            </w:r>
            <w:r>
              <w:rPr>
                <w:rFonts w:hint="eastAsia" w:hAnsi="宋体"/>
              </w:rPr>
              <w:t>是否允许递交</w:t>
            </w:r>
          </w:p>
          <w:p w14:paraId="579E1706">
            <w:pPr>
              <w:pStyle w:val="15"/>
              <w:spacing w:line="320" w:lineRule="exact"/>
              <w:jc w:val="center"/>
              <w:rPr>
                <w:rFonts w:hint="eastAsia" w:hAnsi="宋体"/>
              </w:rPr>
            </w:pPr>
            <w:r>
              <w:rPr>
                <w:rFonts w:hint="eastAsia" w:hAnsi="宋体"/>
              </w:rPr>
              <w:t>备选比选申请方案</w:t>
            </w:r>
          </w:p>
        </w:tc>
        <w:tc>
          <w:tcPr>
            <w:tcW w:w="6212" w:type="dxa"/>
            <w:vAlign w:val="center"/>
          </w:tcPr>
          <w:p w14:paraId="66E625CE">
            <w:pPr>
              <w:pStyle w:val="15"/>
              <w:spacing w:line="340" w:lineRule="exact"/>
              <w:rPr>
                <w:rFonts w:ascii="Times New Roman" w:hAnsi="Times New Roman"/>
              </w:rPr>
            </w:pPr>
            <w:r>
              <w:rPr>
                <w:rFonts w:hint="eastAsia" w:ascii="Times New Roman" w:hAnsi="Times New Roman"/>
              </w:rPr>
              <w:sym w:font="Wingdings 2" w:char="F052"/>
            </w:r>
            <w:r>
              <w:rPr>
                <w:rFonts w:hint="eastAsia" w:ascii="Times New Roman" w:hAnsi="Times New Roman"/>
              </w:rPr>
              <w:t>不允许</w:t>
            </w:r>
          </w:p>
          <w:p w14:paraId="26454DDE">
            <w:pPr>
              <w:pStyle w:val="15"/>
              <w:spacing w:line="340" w:lineRule="exact"/>
              <w:rPr>
                <w:rFonts w:ascii="Times New Roman" w:hAnsi="Times New Roman"/>
              </w:rPr>
            </w:pPr>
            <w:r>
              <w:rPr>
                <w:rFonts w:hint="eastAsia" w:ascii="Times New Roman" w:hAnsi="Times New Roman"/>
              </w:rPr>
              <w:t>□允许</w:t>
            </w:r>
          </w:p>
        </w:tc>
      </w:tr>
    </w:tbl>
    <w:p w14:paraId="76750ABB">
      <w:pPr>
        <w:pStyle w:val="14"/>
        <w:spacing w:after="0" w:line="340" w:lineRule="exact"/>
        <w:jc w:val="center"/>
        <w:rPr>
          <w:rFonts w:hint="eastAsia" w:ascii="宋体" w:hAnsi="宋体"/>
          <w:szCs w:val="21"/>
        </w:rPr>
        <w:sectPr>
          <w:headerReference r:id="rId11" w:type="default"/>
          <w:footerReference r:id="rId12" w:type="default"/>
          <w:pgSz w:w="11911" w:h="16849"/>
          <w:pgMar w:top="1134" w:right="1474" w:bottom="1418" w:left="1134" w:header="850" w:footer="850" w:gutter="0"/>
          <w:pgNumType w:fmt="decimal" w:start="1"/>
          <w:cols w:space="720" w:num="1"/>
          <w:docGrid w:linePitch="286" w:charSpace="0"/>
        </w:sect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153"/>
        <w:gridCol w:w="6212"/>
      </w:tblGrid>
      <w:tr w14:paraId="254F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960" w:type="dxa"/>
            <w:vAlign w:val="center"/>
          </w:tcPr>
          <w:p w14:paraId="79D3C7E5">
            <w:pPr>
              <w:pStyle w:val="14"/>
              <w:spacing w:after="0" w:line="340" w:lineRule="exact"/>
              <w:jc w:val="center"/>
              <w:rPr>
                <w:rFonts w:ascii="宋体"/>
                <w:szCs w:val="21"/>
              </w:rPr>
            </w:pPr>
            <w:r>
              <w:rPr>
                <w:rFonts w:hint="eastAsia" w:ascii="宋体" w:hAnsi="宋体"/>
                <w:szCs w:val="21"/>
                <w:lang w:val="en-US" w:eastAsia="zh-CN"/>
              </w:rPr>
              <w:t>2</w:t>
            </w:r>
            <w:r>
              <w:rPr>
                <w:rFonts w:hint="eastAsia" w:ascii="宋体" w:hAnsi="宋体"/>
                <w:szCs w:val="21"/>
              </w:rPr>
              <w:t>7</w:t>
            </w:r>
          </w:p>
        </w:tc>
        <w:tc>
          <w:tcPr>
            <w:tcW w:w="2153" w:type="dxa"/>
            <w:vAlign w:val="center"/>
          </w:tcPr>
          <w:p w14:paraId="4CA885EA">
            <w:pPr>
              <w:pStyle w:val="14"/>
              <w:spacing w:after="0" w:line="340" w:lineRule="exact"/>
              <w:jc w:val="center"/>
              <w:rPr>
                <w:rFonts w:ascii="宋体"/>
                <w:szCs w:val="21"/>
              </w:rPr>
            </w:pPr>
            <w:r>
              <w:rPr>
                <w:rFonts w:hint="eastAsia"/>
              </w:rPr>
              <w:t>★</w:t>
            </w:r>
            <w:r>
              <w:rPr>
                <w:rFonts w:hint="eastAsia" w:ascii="宋体" w:hAnsi="宋体"/>
                <w:szCs w:val="21"/>
              </w:rPr>
              <w:t>签字、盖章要求</w:t>
            </w:r>
          </w:p>
        </w:tc>
        <w:tc>
          <w:tcPr>
            <w:tcW w:w="6212" w:type="dxa"/>
            <w:vAlign w:val="center"/>
          </w:tcPr>
          <w:p w14:paraId="7826473C">
            <w:pPr>
              <w:spacing w:line="360" w:lineRule="auto"/>
              <w:ind w:left="17" w:leftChars="8"/>
              <w:rPr>
                <w:color w:val="000000"/>
                <w:szCs w:val="21"/>
              </w:rPr>
            </w:pPr>
            <w:r>
              <w:rPr>
                <w:rFonts w:hint="eastAsia"/>
                <w:color w:val="000000"/>
                <w:szCs w:val="21"/>
              </w:rPr>
              <w:t>1.</w:t>
            </w:r>
            <w:r>
              <w:rPr>
                <w:b/>
                <w:bCs/>
                <w:color w:val="000000"/>
                <w:szCs w:val="21"/>
              </w:rPr>
              <w:t>所有要求签字的地方都应用不褪色的墨水或签字笔由本人亲笔手写签字（包括姓和名），不得由他人代签</w:t>
            </w:r>
            <w:r>
              <w:rPr>
                <w:rFonts w:hint="eastAsia"/>
                <w:b/>
                <w:bCs/>
                <w:color w:val="000000"/>
                <w:szCs w:val="21"/>
              </w:rPr>
              <w:t>，不得</w:t>
            </w:r>
            <w:r>
              <w:rPr>
                <w:b/>
                <w:bCs/>
                <w:color w:val="000000"/>
                <w:szCs w:val="21"/>
              </w:rPr>
              <w:t>使用盖章（如签名章、签字章等）代替。</w:t>
            </w:r>
          </w:p>
          <w:p w14:paraId="6F87B1D8">
            <w:pPr>
              <w:spacing w:line="360" w:lineRule="auto"/>
              <w:ind w:left="17" w:leftChars="8"/>
              <w:rPr>
                <w:color w:val="000000"/>
                <w:szCs w:val="21"/>
              </w:rPr>
            </w:pPr>
            <w:r>
              <w:rPr>
                <w:rFonts w:hint="eastAsia"/>
                <w:color w:val="000000"/>
                <w:szCs w:val="21"/>
              </w:rPr>
              <w:t>2.</w:t>
            </w:r>
            <w:r>
              <w:rPr>
                <w:b/>
                <w:bCs/>
                <w:color w:val="000000"/>
                <w:szCs w:val="21"/>
              </w:rPr>
              <w:t>所有要求盖章的地方都应加盖</w:t>
            </w:r>
            <w:r>
              <w:rPr>
                <w:rFonts w:hint="eastAsia"/>
                <w:b/>
                <w:bCs/>
                <w:color w:val="000000"/>
                <w:szCs w:val="21"/>
              </w:rPr>
              <w:t>比选申请人</w:t>
            </w:r>
            <w:r>
              <w:rPr>
                <w:b/>
                <w:bCs/>
                <w:color w:val="000000"/>
                <w:szCs w:val="21"/>
              </w:rPr>
              <w:t>单位（法定名称）章，不得使用专用印章（如经济合同章、</w:t>
            </w:r>
            <w:r>
              <w:rPr>
                <w:rFonts w:hint="eastAsia"/>
                <w:b/>
                <w:bCs/>
                <w:color w:val="000000"/>
                <w:szCs w:val="21"/>
              </w:rPr>
              <w:t>投标</w:t>
            </w:r>
            <w:r>
              <w:rPr>
                <w:b/>
                <w:bCs/>
                <w:color w:val="000000"/>
                <w:szCs w:val="21"/>
              </w:rPr>
              <w:t>专用章等）或下属单位印章代替，否则视为无效申请文件。</w:t>
            </w:r>
          </w:p>
          <w:p w14:paraId="43BE9EC9">
            <w:pPr>
              <w:spacing w:line="360" w:lineRule="auto"/>
              <w:ind w:left="17" w:leftChars="8"/>
              <w:rPr>
                <w:color w:val="000000"/>
                <w:szCs w:val="21"/>
              </w:rPr>
            </w:pPr>
            <w:r>
              <w:rPr>
                <w:rFonts w:hint="eastAsia"/>
                <w:szCs w:val="21"/>
              </w:rPr>
              <w:t>3.</w:t>
            </w:r>
            <w:r>
              <w:rPr>
                <w:szCs w:val="21"/>
              </w:rPr>
              <w:t>“</w:t>
            </w:r>
            <w:r>
              <w:rPr>
                <w:rFonts w:hint="eastAsia"/>
                <w:szCs w:val="21"/>
              </w:rPr>
              <w:t>比选申请文件</w:t>
            </w:r>
            <w:r>
              <w:rPr>
                <w:szCs w:val="21"/>
              </w:rPr>
              <w:t>格式”</w:t>
            </w:r>
            <w:r>
              <w:rPr>
                <w:color w:val="000000"/>
                <w:szCs w:val="21"/>
              </w:rPr>
              <w:t>中要求</w:t>
            </w:r>
            <w:r>
              <w:rPr>
                <w:rFonts w:hint="eastAsia"/>
                <w:color w:val="000000"/>
                <w:szCs w:val="21"/>
              </w:rPr>
              <w:t>比选申请人</w:t>
            </w:r>
            <w:r>
              <w:rPr>
                <w:color w:val="000000"/>
                <w:szCs w:val="21"/>
              </w:rPr>
              <w:t>“法定代表人或其委托代理人”签字的，如法定代表人亲自申请</w:t>
            </w:r>
            <w:r>
              <w:rPr>
                <w:rFonts w:hint="eastAsia"/>
                <w:color w:val="000000"/>
                <w:szCs w:val="21"/>
              </w:rPr>
              <w:t>比选</w:t>
            </w:r>
            <w:r>
              <w:rPr>
                <w:color w:val="000000"/>
                <w:szCs w:val="21"/>
              </w:rPr>
              <w:t>而不委托代理人申请，由法定代表人签字；</w:t>
            </w:r>
            <w:r>
              <w:rPr>
                <w:rFonts w:hint="eastAsia"/>
                <w:color w:val="000000"/>
                <w:szCs w:val="21"/>
              </w:rPr>
              <w:t>如</w:t>
            </w:r>
            <w:r>
              <w:rPr>
                <w:color w:val="000000"/>
                <w:szCs w:val="21"/>
              </w:rPr>
              <w:t>法定代表人授权委托代理人申请，由委托代理人签字，也可由法定代表人签字。</w:t>
            </w:r>
          </w:p>
          <w:p w14:paraId="02DE4D7B">
            <w:pPr>
              <w:pStyle w:val="15"/>
              <w:tabs>
                <w:tab w:val="left" w:pos="4452"/>
              </w:tabs>
              <w:spacing w:line="360" w:lineRule="auto"/>
              <w:rPr>
                <w:rFonts w:hint="eastAsia" w:hAnsi="宋体" w:cs="Courier New"/>
              </w:rPr>
            </w:pPr>
            <w:r>
              <w:rPr>
                <w:rFonts w:hint="eastAsia"/>
                <w:color w:val="000000"/>
              </w:rPr>
              <w:t>4.</w:t>
            </w:r>
            <w:r>
              <w:rPr>
                <w:rFonts w:hint="eastAsia" w:ascii="Times New Roman" w:hAnsi="Times New Roman"/>
                <w:color w:val="000000"/>
              </w:rPr>
              <w:t>比选申请文件</w:t>
            </w:r>
            <w:r>
              <w:rPr>
                <w:rFonts w:ascii="Times New Roman" w:hAnsi="Times New Roman"/>
                <w:color w:val="000000"/>
              </w:rPr>
              <w:t>若有修改，修改处应由</w:t>
            </w:r>
            <w:r>
              <w:rPr>
                <w:rFonts w:hint="eastAsia" w:ascii="Times New Roman" w:hAnsi="Times New Roman"/>
                <w:color w:val="000000"/>
              </w:rPr>
              <w:t>比选申请人</w:t>
            </w:r>
            <w:r>
              <w:rPr>
                <w:rFonts w:ascii="Times New Roman" w:hAnsi="Times New Roman"/>
                <w:color w:val="000000"/>
              </w:rPr>
              <w:t>法定代表人或其委托代理人签字或加盖单位章</w:t>
            </w:r>
            <w:r>
              <w:rPr>
                <w:rFonts w:hint="eastAsia" w:hAnsi="宋体" w:cs="宋体"/>
              </w:rPr>
              <w:t>（鲜章）</w:t>
            </w:r>
            <w:r>
              <w:rPr>
                <w:rFonts w:ascii="Times New Roman" w:hAnsi="Times New Roman"/>
                <w:color w:val="000000"/>
              </w:rPr>
              <w:t>。</w:t>
            </w:r>
          </w:p>
        </w:tc>
      </w:tr>
      <w:tr w14:paraId="31C6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jc w:val="center"/>
        </w:trPr>
        <w:tc>
          <w:tcPr>
            <w:tcW w:w="960" w:type="dxa"/>
            <w:vAlign w:val="center"/>
          </w:tcPr>
          <w:p w14:paraId="64C97CFA">
            <w:pPr>
              <w:pStyle w:val="14"/>
              <w:spacing w:after="0" w:line="340" w:lineRule="exact"/>
              <w:jc w:val="center"/>
              <w:rPr>
                <w:rFonts w:hint="eastAsia" w:ascii="宋体" w:hAnsi="宋体"/>
                <w:szCs w:val="21"/>
              </w:rPr>
            </w:pPr>
            <w:r>
              <w:rPr>
                <w:rFonts w:hint="eastAsia" w:ascii="宋体" w:hAnsi="宋体"/>
                <w:szCs w:val="21"/>
              </w:rPr>
              <w:t>28</w:t>
            </w:r>
          </w:p>
        </w:tc>
        <w:tc>
          <w:tcPr>
            <w:tcW w:w="2153" w:type="dxa"/>
            <w:vAlign w:val="center"/>
          </w:tcPr>
          <w:p w14:paraId="20CC5DDC">
            <w:pPr>
              <w:spacing w:line="360" w:lineRule="exact"/>
              <w:jc w:val="center"/>
              <w:rPr>
                <w:rFonts w:hint="eastAsia" w:ascii="宋体" w:hAnsi="宋体"/>
                <w:szCs w:val="21"/>
              </w:rPr>
            </w:pPr>
            <w:r>
              <w:rPr>
                <w:rFonts w:eastAsia="仿宋"/>
                <w:sz w:val="24"/>
              </w:rPr>
              <w:t>★</w:t>
            </w:r>
            <w:r>
              <w:rPr>
                <w:rFonts w:hint="eastAsia" w:ascii="宋体" w:hAnsi="宋体"/>
                <w:szCs w:val="21"/>
              </w:rPr>
              <w:t>比选申请文件</w:t>
            </w:r>
          </w:p>
          <w:p w14:paraId="5B398EFF">
            <w:pPr>
              <w:spacing w:line="360" w:lineRule="exact"/>
              <w:jc w:val="center"/>
              <w:rPr>
                <w:rFonts w:eastAsia="仿宋"/>
                <w:sz w:val="24"/>
              </w:rPr>
            </w:pPr>
            <w:r>
              <w:rPr>
                <w:rFonts w:hint="eastAsia" w:ascii="宋体" w:hAnsi="宋体"/>
                <w:szCs w:val="21"/>
              </w:rPr>
              <w:t>格式</w:t>
            </w:r>
          </w:p>
        </w:tc>
        <w:tc>
          <w:tcPr>
            <w:tcW w:w="6212" w:type="dxa"/>
            <w:vAlign w:val="center"/>
          </w:tcPr>
          <w:p w14:paraId="4A2FB0D1">
            <w:pPr>
              <w:spacing w:line="360" w:lineRule="auto"/>
              <w:ind w:left="17" w:leftChars="8"/>
              <w:rPr>
                <w:color w:val="000000"/>
                <w:szCs w:val="21"/>
              </w:rPr>
            </w:pPr>
            <w:r>
              <w:rPr>
                <w:rFonts w:hint="eastAsia"/>
                <w:color w:val="000000"/>
                <w:szCs w:val="21"/>
              </w:rPr>
              <w:t>1.比选申请人</w:t>
            </w:r>
            <w:r>
              <w:rPr>
                <w:color w:val="000000"/>
                <w:szCs w:val="21"/>
              </w:rPr>
              <w:t>不得对</w:t>
            </w:r>
            <w:r>
              <w:rPr>
                <w:rFonts w:hint="eastAsia"/>
                <w:color w:val="000000"/>
                <w:szCs w:val="21"/>
              </w:rPr>
              <w:t>比选</w:t>
            </w:r>
            <w:r>
              <w:rPr>
                <w:color w:val="000000"/>
                <w:szCs w:val="21"/>
              </w:rPr>
              <w:t>文件格式中的实质性内容进行删减或修改。（注解除外）</w:t>
            </w:r>
          </w:p>
          <w:p w14:paraId="229F1626">
            <w:pPr>
              <w:spacing w:line="360" w:lineRule="auto"/>
              <w:ind w:left="17" w:leftChars="8"/>
              <w:rPr>
                <w:color w:val="000000"/>
                <w:szCs w:val="21"/>
              </w:rPr>
            </w:pPr>
            <w:r>
              <w:rPr>
                <w:rFonts w:hint="eastAsia"/>
                <w:color w:val="000000"/>
                <w:szCs w:val="21"/>
              </w:rPr>
              <w:t>2.比选申请人</w:t>
            </w:r>
            <w:r>
              <w:rPr>
                <w:color w:val="000000"/>
                <w:szCs w:val="21"/>
              </w:rPr>
              <w:t>可以在格式内容之后另行说明和增加相关的内容。另行说明或自行增加的内容、以及按</w:t>
            </w:r>
            <w:r>
              <w:rPr>
                <w:rFonts w:hint="eastAsia"/>
                <w:color w:val="000000"/>
                <w:szCs w:val="21"/>
              </w:rPr>
              <w:t>比选申请文件</w:t>
            </w:r>
            <w:r>
              <w:rPr>
                <w:color w:val="000000"/>
                <w:szCs w:val="21"/>
              </w:rPr>
              <w:t>格式在空格（下划线）由</w:t>
            </w:r>
            <w:r>
              <w:rPr>
                <w:rFonts w:hint="eastAsia"/>
                <w:color w:val="000000"/>
                <w:szCs w:val="21"/>
              </w:rPr>
              <w:t>比选申请人</w:t>
            </w:r>
            <w:r>
              <w:rPr>
                <w:color w:val="000000"/>
                <w:szCs w:val="21"/>
              </w:rPr>
              <w:t>填写的内容，不得与</w:t>
            </w:r>
            <w:r>
              <w:rPr>
                <w:rFonts w:hint="eastAsia"/>
                <w:color w:val="000000"/>
                <w:szCs w:val="21"/>
              </w:rPr>
              <w:t>比选</w:t>
            </w:r>
            <w:r>
              <w:rPr>
                <w:color w:val="000000"/>
                <w:szCs w:val="21"/>
              </w:rPr>
              <w:t>文件的强制性审查标准和禁止性规定相抵触。</w:t>
            </w:r>
          </w:p>
          <w:p w14:paraId="4C216993">
            <w:pPr>
              <w:spacing w:line="360" w:lineRule="auto"/>
              <w:ind w:left="17" w:leftChars="8"/>
              <w:rPr>
                <w:color w:val="000000"/>
                <w:szCs w:val="21"/>
              </w:rPr>
            </w:pPr>
            <w:r>
              <w:rPr>
                <w:rFonts w:hint="eastAsia"/>
                <w:color w:val="000000"/>
                <w:szCs w:val="21"/>
              </w:rPr>
              <w:t>3.比选申请文件</w:t>
            </w:r>
            <w:r>
              <w:rPr>
                <w:color w:val="000000"/>
                <w:szCs w:val="21"/>
              </w:rPr>
              <w:t>应对</w:t>
            </w:r>
            <w:r>
              <w:rPr>
                <w:rFonts w:hint="eastAsia"/>
                <w:color w:val="000000"/>
                <w:szCs w:val="21"/>
              </w:rPr>
              <w:t>比选</w:t>
            </w:r>
            <w:r>
              <w:rPr>
                <w:color w:val="000000"/>
                <w:szCs w:val="21"/>
              </w:rPr>
              <w:t>文件提出的所有实质性要求和条件作出实质性响应，并且实质性响应的内容不得互相矛盾。</w:t>
            </w:r>
          </w:p>
          <w:p w14:paraId="38DC07F7">
            <w:pPr>
              <w:spacing w:line="360" w:lineRule="auto"/>
              <w:ind w:left="17" w:leftChars="8"/>
              <w:rPr>
                <w:color w:val="000000"/>
                <w:szCs w:val="21"/>
              </w:rPr>
            </w:pPr>
            <w:r>
              <w:rPr>
                <w:rFonts w:hint="eastAsia"/>
                <w:color w:val="000000"/>
                <w:szCs w:val="21"/>
              </w:rPr>
              <w:t>4.比选申请文件</w:t>
            </w:r>
            <w:r>
              <w:rPr>
                <w:color w:val="000000"/>
                <w:szCs w:val="21"/>
              </w:rPr>
              <w:t>应内容完整，字迹清晰可辨。字迹模糊导致无法确认关键技术方案、关键工期、关键工程质量保证措施、</w:t>
            </w:r>
            <w:r>
              <w:rPr>
                <w:rFonts w:hint="eastAsia"/>
                <w:color w:val="000000"/>
                <w:szCs w:val="21"/>
              </w:rPr>
              <w:t>比选申请</w:t>
            </w:r>
            <w:r>
              <w:rPr>
                <w:color w:val="000000"/>
                <w:szCs w:val="21"/>
              </w:rPr>
              <w:t>价格的，其</w:t>
            </w:r>
            <w:r>
              <w:rPr>
                <w:rFonts w:hint="eastAsia"/>
                <w:color w:val="000000"/>
                <w:szCs w:val="21"/>
              </w:rPr>
              <w:t>比选申请文件</w:t>
            </w:r>
            <w:r>
              <w:rPr>
                <w:color w:val="000000"/>
                <w:szCs w:val="21"/>
              </w:rPr>
              <w:t>无效。</w:t>
            </w:r>
          </w:p>
          <w:p w14:paraId="6C2A6738">
            <w:pPr>
              <w:spacing w:line="360" w:lineRule="auto"/>
              <w:ind w:left="17" w:leftChars="8"/>
            </w:pPr>
            <w:r>
              <w:rPr>
                <w:rFonts w:hint="eastAsia"/>
                <w:color w:val="000000"/>
                <w:szCs w:val="21"/>
              </w:rPr>
              <w:t>5.比选申请文件</w:t>
            </w:r>
            <w:r>
              <w:rPr>
                <w:color w:val="000000"/>
                <w:szCs w:val="21"/>
              </w:rPr>
              <w:t>所附证明材料应内容完整并清晰可辨。所附证明材料内容不完整或字迹模糊的，</w:t>
            </w:r>
            <w:r>
              <w:rPr>
                <w:rFonts w:hint="eastAsia"/>
                <w:color w:val="000000"/>
                <w:szCs w:val="21"/>
              </w:rPr>
              <w:t>评审</w:t>
            </w:r>
            <w:r>
              <w:rPr>
                <w:color w:val="000000"/>
                <w:szCs w:val="21"/>
              </w:rPr>
              <w:t>委员会可要求比选申请人提供原件核验。</w:t>
            </w:r>
          </w:p>
        </w:tc>
      </w:tr>
      <w:tr w14:paraId="3552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960" w:type="dxa"/>
            <w:vAlign w:val="center"/>
          </w:tcPr>
          <w:p w14:paraId="304EFF7A">
            <w:pPr>
              <w:pStyle w:val="14"/>
              <w:spacing w:after="0" w:line="340" w:lineRule="exact"/>
              <w:jc w:val="center"/>
              <w:rPr>
                <w:rFonts w:hint="eastAsia" w:ascii="宋体" w:hAnsi="宋体"/>
                <w:szCs w:val="21"/>
              </w:rPr>
            </w:pPr>
            <w:r>
              <w:rPr>
                <w:rFonts w:hint="eastAsia" w:ascii="宋体" w:hAnsi="宋体"/>
                <w:szCs w:val="21"/>
              </w:rPr>
              <w:t>29</w:t>
            </w:r>
          </w:p>
        </w:tc>
        <w:tc>
          <w:tcPr>
            <w:tcW w:w="2153" w:type="dxa"/>
            <w:vAlign w:val="center"/>
          </w:tcPr>
          <w:p w14:paraId="61ABB2CD">
            <w:pPr>
              <w:spacing w:line="360" w:lineRule="exact"/>
              <w:jc w:val="center"/>
              <w:rPr>
                <w:rFonts w:hint="eastAsia" w:ascii="宋体" w:hAnsi="宋体"/>
                <w:szCs w:val="21"/>
              </w:rPr>
            </w:pPr>
            <w:r>
              <w:rPr>
                <w:color w:val="000000"/>
                <w:szCs w:val="21"/>
              </w:rPr>
              <w:t>★正、副本</w:t>
            </w:r>
          </w:p>
        </w:tc>
        <w:tc>
          <w:tcPr>
            <w:tcW w:w="6212" w:type="dxa"/>
            <w:vAlign w:val="center"/>
          </w:tcPr>
          <w:p w14:paraId="3659E340">
            <w:pPr>
              <w:spacing w:line="360" w:lineRule="auto"/>
              <w:ind w:left="0" w:leftChars="0"/>
              <w:jc w:val="left"/>
              <w:rPr>
                <w:rFonts w:hint="eastAsia" w:ascii="宋体" w:hAnsi="宋体" w:cs="宋体"/>
                <w:szCs w:val="21"/>
              </w:rPr>
            </w:pPr>
            <w:r>
              <w:rPr>
                <w:color w:val="000000"/>
                <w:szCs w:val="21"/>
              </w:rPr>
              <w:t>正本</w:t>
            </w:r>
            <w:r>
              <w:rPr>
                <w:color w:val="000000"/>
                <w:szCs w:val="21"/>
                <w:u w:val="single"/>
              </w:rPr>
              <w:t>1</w:t>
            </w:r>
            <w:r>
              <w:rPr>
                <w:color w:val="000000"/>
                <w:szCs w:val="21"/>
              </w:rPr>
              <w:t>份，</w:t>
            </w:r>
            <w:r>
              <w:rPr>
                <w:rFonts w:hint="eastAsia" w:ascii="Times New Roman" w:hAnsi="Times New Roman" w:eastAsia="宋体" w:cs="Times New Roman"/>
                <w:b w:val="0"/>
                <w:color w:val="000000"/>
                <w:sz w:val="21"/>
                <w:szCs w:val="21"/>
              </w:rPr>
              <w:t>副本</w:t>
            </w:r>
            <w:r>
              <w:rPr>
                <w:rFonts w:hint="eastAsia" w:ascii="Times New Roman" w:hAnsi="Times New Roman" w:eastAsia="宋体" w:cs="Times New Roman"/>
                <w:b w:val="0"/>
                <w:color w:val="000000"/>
                <w:sz w:val="21"/>
                <w:szCs w:val="21"/>
                <w:u w:val="single"/>
              </w:rPr>
              <w:t>1</w:t>
            </w:r>
            <w:r>
              <w:rPr>
                <w:rFonts w:hint="eastAsia" w:ascii="Times New Roman" w:hAnsi="Times New Roman" w:eastAsia="宋体" w:cs="Times New Roman"/>
                <w:b w:val="0"/>
                <w:color w:val="000000"/>
                <w:sz w:val="21"/>
                <w:szCs w:val="21"/>
              </w:rPr>
              <w:t>份。</w:t>
            </w:r>
            <w:r>
              <w:rPr>
                <w:rFonts w:hint="eastAsia" w:ascii="Times New Roman" w:hAnsi="Times New Roman" w:eastAsia="宋体" w:cs="Times New Roman"/>
                <w:b w:val="0"/>
                <w:color w:val="000000"/>
                <w:sz w:val="21"/>
                <w:szCs w:val="21"/>
                <w:lang w:val="en-US" w:eastAsia="zh-CN"/>
              </w:rPr>
              <w:t>副本</w:t>
            </w:r>
            <w:r>
              <w:rPr>
                <w:rFonts w:hint="eastAsia" w:ascii="Times New Roman" w:hAnsi="Times New Roman" w:eastAsia="宋体" w:cs="Times New Roman"/>
                <w:color w:val="000000"/>
                <w:sz w:val="21"/>
                <w:szCs w:val="21"/>
              </w:rPr>
              <w:t>以电子</w:t>
            </w:r>
            <w:r>
              <w:rPr>
                <w:rFonts w:hint="eastAsia" w:ascii="Times New Roman" w:hAnsi="Times New Roman" w:eastAsia="宋体" w:cs="Times New Roman"/>
                <w:color w:val="000000"/>
                <w:sz w:val="21"/>
                <w:szCs w:val="21"/>
                <w:lang w:val="en-US" w:eastAsia="zh-CN"/>
              </w:rPr>
              <w:t>档</w:t>
            </w:r>
            <w:r>
              <w:rPr>
                <w:rFonts w:hint="eastAsia" w:ascii="Times New Roman" w:hAnsi="Times New Roman" w:eastAsia="宋体" w:cs="Times New Roman"/>
                <w:color w:val="000000"/>
                <w:sz w:val="21"/>
                <w:szCs w:val="21"/>
              </w:rPr>
              <w:t>U盘形式递交</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内容为：正本的电子档扫描件</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rPr>
              <w:t>当正副本内容不一致的以纸质版正本为准</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但副本和正本内容不一致造成的评审差错由比选申请人自行承担</w:t>
            </w:r>
            <w:r>
              <w:rPr>
                <w:rFonts w:hint="eastAsia"/>
                <w:color w:val="000000"/>
                <w:szCs w:val="21"/>
              </w:rPr>
              <w:t>。</w:t>
            </w:r>
          </w:p>
        </w:tc>
      </w:tr>
      <w:tr w14:paraId="2D16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960" w:type="dxa"/>
            <w:vAlign w:val="center"/>
          </w:tcPr>
          <w:p w14:paraId="3395A6C5">
            <w:pPr>
              <w:pStyle w:val="14"/>
              <w:spacing w:after="0" w:line="380" w:lineRule="exact"/>
              <w:jc w:val="center"/>
              <w:rPr>
                <w:rFonts w:ascii="宋体"/>
                <w:szCs w:val="21"/>
              </w:rPr>
            </w:pPr>
            <w:r>
              <w:rPr>
                <w:rFonts w:hint="eastAsia" w:ascii="宋体" w:hAnsi="宋体"/>
                <w:szCs w:val="21"/>
              </w:rPr>
              <w:t>30</w:t>
            </w:r>
          </w:p>
        </w:tc>
        <w:tc>
          <w:tcPr>
            <w:tcW w:w="2153" w:type="dxa"/>
            <w:vAlign w:val="center"/>
          </w:tcPr>
          <w:p w14:paraId="0F2B8FE3">
            <w:pPr>
              <w:pStyle w:val="15"/>
              <w:spacing w:line="340" w:lineRule="exact"/>
              <w:jc w:val="center"/>
              <w:rPr>
                <w:rFonts w:ascii="Times New Roman" w:hAnsi="Times New Roman"/>
              </w:rPr>
            </w:pPr>
            <w:r>
              <w:rPr>
                <w:rFonts w:ascii="Times New Roman" w:hAnsi="Times New Roman"/>
                <w:color w:val="000000"/>
              </w:rPr>
              <w:t>装订</w:t>
            </w:r>
          </w:p>
        </w:tc>
        <w:tc>
          <w:tcPr>
            <w:tcW w:w="6212" w:type="dxa"/>
            <w:vAlign w:val="center"/>
          </w:tcPr>
          <w:p w14:paraId="153BB369">
            <w:pPr>
              <w:spacing w:line="360" w:lineRule="auto"/>
              <w:jc w:val="left"/>
              <w:rPr>
                <w:color w:val="000000"/>
                <w:szCs w:val="21"/>
              </w:rPr>
            </w:pPr>
            <w:r>
              <w:rPr>
                <w:color w:val="000000"/>
                <w:szCs w:val="21"/>
              </w:rPr>
              <w:t>（1）比选申请文件的正本一律用A4复印纸（图、表及证件可以除外）编制或复制。</w:t>
            </w:r>
          </w:p>
          <w:p w14:paraId="2E5E829C">
            <w:pPr>
              <w:spacing w:line="360" w:lineRule="auto"/>
              <w:jc w:val="left"/>
              <w:rPr>
                <w:color w:val="000000"/>
                <w:szCs w:val="21"/>
              </w:rPr>
            </w:pPr>
            <w:r>
              <w:rPr>
                <w:color w:val="000000"/>
                <w:szCs w:val="21"/>
              </w:rPr>
              <w:t>（2）比选申请文件的正本应采用粘贴方式左侧装订，不得采用活页夹等可随时拆换的方式装订，不得有零散页。</w:t>
            </w:r>
          </w:p>
          <w:p w14:paraId="7AC56EBD">
            <w:pPr>
              <w:spacing w:line="360" w:lineRule="auto"/>
              <w:jc w:val="left"/>
              <w:rPr>
                <w:color w:val="000000"/>
                <w:szCs w:val="21"/>
              </w:rPr>
            </w:pPr>
            <w:r>
              <w:rPr>
                <w:color w:val="000000"/>
                <w:szCs w:val="21"/>
              </w:rPr>
              <w:t>（3）比选申请文件应严格按照</w:t>
            </w:r>
            <w:r>
              <w:rPr>
                <w:rFonts w:hint="eastAsia"/>
                <w:color w:val="000000"/>
                <w:szCs w:val="21"/>
              </w:rPr>
              <w:t>第六章</w:t>
            </w:r>
            <w:r>
              <w:rPr>
                <w:color w:val="000000"/>
                <w:szCs w:val="21"/>
              </w:rPr>
              <w:t>“比选申请文件格式”中的目录次序装订；若同一册的内容较多，可装订成若干分册，并在封面标明次序及册数。</w:t>
            </w:r>
          </w:p>
          <w:p w14:paraId="03364139">
            <w:pPr>
              <w:spacing w:line="360" w:lineRule="auto"/>
              <w:jc w:val="left"/>
              <w:rPr>
                <w:color w:val="000000"/>
                <w:szCs w:val="21"/>
              </w:rPr>
            </w:pPr>
            <w:r>
              <w:rPr>
                <w:color w:val="000000"/>
                <w:szCs w:val="21"/>
              </w:rPr>
              <w:t>（4）比选申请文件中的证明、证件及附件等的复制件应集中紧附在相应正文内容后面，并尽量与前面正文部分的顺序相对应。</w:t>
            </w:r>
          </w:p>
          <w:p w14:paraId="5370E539">
            <w:pPr>
              <w:spacing w:line="360" w:lineRule="auto"/>
              <w:ind w:left="17" w:leftChars="8"/>
              <w:rPr>
                <w:rFonts w:hint="eastAsia" w:ascii="宋体" w:hAnsi="宋体" w:cs="宋体"/>
                <w:szCs w:val="21"/>
              </w:rPr>
            </w:pPr>
            <w:r>
              <w:rPr>
                <w:color w:val="000000"/>
                <w:szCs w:val="21"/>
              </w:rPr>
              <w:t>（5）修改的比选申请文件的装订也应按本要求办理。</w:t>
            </w:r>
          </w:p>
        </w:tc>
      </w:tr>
      <w:tr w14:paraId="412C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572EDC20">
            <w:pPr>
              <w:pStyle w:val="14"/>
              <w:spacing w:after="0"/>
              <w:jc w:val="center"/>
              <w:rPr>
                <w:rFonts w:hint="eastAsia" w:ascii="宋体" w:hAnsi="宋体"/>
                <w:szCs w:val="21"/>
              </w:rPr>
            </w:pPr>
            <w:r>
              <w:rPr>
                <w:rFonts w:hint="eastAsia" w:ascii="宋体" w:hAnsi="宋体"/>
                <w:szCs w:val="21"/>
              </w:rPr>
              <w:t>31</w:t>
            </w:r>
          </w:p>
        </w:tc>
        <w:tc>
          <w:tcPr>
            <w:tcW w:w="2153" w:type="dxa"/>
            <w:vAlign w:val="center"/>
          </w:tcPr>
          <w:p w14:paraId="3BBFAEFD">
            <w:pPr>
              <w:pStyle w:val="15"/>
              <w:spacing w:line="320" w:lineRule="exact"/>
              <w:jc w:val="center"/>
              <w:rPr>
                <w:rFonts w:hint="eastAsia" w:hAnsi="宋体"/>
              </w:rPr>
            </w:pPr>
            <w:r>
              <w:rPr>
                <w:rFonts w:ascii="Times New Roman" w:hAnsi="Times New Roman"/>
                <w:color w:val="000000"/>
              </w:rPr>
              <w:t>包装和密封</w:t>
            </w:r>
          </w:p>
        </w:tc>
        <w:tc>
          <w:tcPr>
            <w:tcW w:w="6212" w:type="dxa"/>
            <w:vAlign w:val="center"/>
          </w:tcPr>
          <w:p w14:paraId="43A8E0F3">
            <w:pPr>
              <w:spacing w:line="360" w:lineRule="auto"/>
              <w:jc w:val="left"/>
              <w:rPr>
                <w:color w:val="000000"/>
                <w:szCs w:val="21"/>
              </w:rPr>
            </w:pPr>
            <w:r>
              <w:rPr>
                <w:color w:val="000000"/>
                <w:szCs w:val="21"/>
              </w:rPr>
              <w:t>（1）比选申请文件的正本和副本应分开包装，正本一个包装，副本一个包装。</w:t>
            </w:r>
          </w:p>
          <w:p w14:paraId="40CA973B">
            <w:pPr>
              <w:spacing w:line="360" w:lineRule="auto"/>
              <w:jc w:val="left"/>
              <w:rPr>
                <w:color w:val="000000"/>
                <w:szCs w:val="21"/>
              </w:rPr>
            </w:pPr>
            <w:r>
              <w:rPr>
                <w:color w:val="000000"/>
                <w:szCs w:val="21"/>
              </w:rPr>
              <w:t>（2）每一个包装都应在其封套的封口处加贴封条，在封套的封口处加盖比选申请人单位章。</w:t>
            </w:r>
          </w:p>
          <w:p w14:paraId="37187AD1">
            <w:pPr>
              <w:spacing w:line="360" w:lineRule="auto"/>
              <w:ind w:left="17" w:leftChars="8"/>
              <w:rPr>
                <w:rFonts w:hint="eastAsia" w:ascii="宋体" w:hAnsi="宋体" w:cs="宋体"/>
                <w:szCs w:val="21"/>
              </w:rPr>
            </w:pPr>
            <w:r>
              <w:rPr>
                <w:color w:val="000000"/>
                <w:szCs w:val="21"/>
              </w:rPr>
              <w:t>（3）每一个包装的封套上应清楚地标记“正本”或“副本”字样。</w:t>
            </w:r>
          </w:p>
        </w:tc>
      </w:tr>
      <w:tr w14:paraId="6337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5FCDFD4F">
            <w:pPr>
              <w:pStyle w:val="14"/>
              <w:spacing w:after="0"/>
              <w:jc w:val="center"/>
              <w:rPr>
                <w:rFonts w:hint="eastAsia" w:ascii="宋体" w:hAnsi="宋体"/>
                <w:szCs w:val="21"/>
              </w:rPr>
            </w:pPr>
            <w:r>
              <w:rPr>
                <w:rFonts w:hint="eastAsia" w:ascii="宋体" w:hAnsi="宋体"/>
                <w:szCs w:val="21"/>
              </w:rPr>
              <w:t>32</w:t>
            </w:r>
          </w:p>
        </w:tc>
        <w:tc>
          <w:tcPr>
            <w:tcW w:w="2153" w:type="dxa"/>
            <w:vAlign w:val="center"/>
          </w:tcPr>
          <w:p w14:paraId="7C7BA9B8">
            <w:pPr>
              <w:pStyle w:val="15"/>
              <w:spacing w:line="320" w:lineRule="exact"/>
              <w:jc w:val="center"/>
              <w:rPr>
                <w:rFonts w:hint="eastAsia" w:hAnsi="宋体"/>
              </w:rPr>
            </w:pPr>
            <w:r>
              <w:rPr>
                <w:rFonts w:ascii="Times New Roman" w:hAnsi="Times New Roman"/>
                <w:color w:val="000000"/>
              </w:rPr>
              <w:t>封套上写明</w:t>
            </w:r>
          </w:p>
        </w:tc>
        <w:tc>
          <w:tcPr>
            <w:tcW w:w="6212" w:type="dxa"/>
            <w:vAlign w:val="center"/>
          </w:tcPr>
          <w:p w14:paraId="2F2AF8DF">
            <w:pPr>
              <w:spacing w:line="360" w:lineRule="auto"/>
              <w:jc w:val="left"/>
              <w:rPr>
                <w:color w:val="000000"/>
                <w:szCs w:val="21"/>
              </w:rPr>
            </w:pPr>
            <w:r>
              <w:rPr>
                <w:color w:val="000000"/>
                <w:szCs w:val="21"/>
              </w:rPr>
              <w:t>比选人名称：四川蜀道新能源科技发展有限公司</w:t>
            </w:r>
          </w:p>
          <w:p w14:paraId="1E9A54C3">
            <w:pPr>
              <w:spacing w:line="360" w:lineRule="auto"/>
              <w:jc w:val="left"/>
              <w:rPr>
                <w:color w:val="000000"/>
                <w:szCs w:val="21"/>
              </w:rPr>
            </w:pPr>
            <w:r>
              <w:rPr>
                <w:color w:val="000000"/>
                <w:szCs w:val="21"/>
              </w:rPr>
              <w:t>比选申请人的地址：</w:t>
            </w:r>
          </w:p>
          <w:p w14:paraId="21B276D6">
            <w:pPr>
              <w:spacing w:line="360" w:lineRule="auto"/>
              <w:jc w:val="left"/>
              <w:rPr>
                <w:color w:val="000000"/>
                <w:szCs w:val="21"/>
              </w:rPr>
            </w:pPr>
            <w:r>
              <w:rPr>
                <w:color w:val="000000"/>
                <w:szCs w:val="21"/>
              </w:rPr>
              <w:t>比选申请人的全称：</w:t>
            </w:r>
          </w:p>
          <w:p w14:paraId="5685B9D8">
            <w:pPr>
              <w:spacing w:line="480" w:lineRule="auto"/>
              <w:jc w:val="left"/>
              <w:rPr>
                <w:color w:val="000000"/>
                <w:szCs w:val="21"/>
              </w:rPr>
            </w:pPr>
            <w:r>
              <w:rPr>
                <w:color w:val="000000"/>
                <w:szCs w:val="21"/>
                <w:u w:val="single"/>
              </w:rPr>
              <w:t>（项目名称）</w:t>
            </w:r>
            <w:r>
              <w:rPr>
                <w:color w:val="000000"/>
                <w:szCs w:val="21"/>
              </w:rPr>
              <w:t>比选申请文件在</w:t>
            </w:r>
            <w:r>
              <w:rPr>
                <w:rFonts w:hint="eastAsia"/>
                <w:color w:val="000000"/>
                <w:szCs w:val="21"/>
                <w:lang w:eastAsia="zh-CN"/>
              </w:rPr>
              <w:t>2025年</w:t>
            </w:r>
            <w:r>
              <w:rPr>
                <w:rFonts w:hint="eastAsia"/>
                <w:color w:val="000000"/>
                <w:szCs w:val="21"/>
                <w:lang w:val="en-US" w:eastAsia="zh-CN"/>
              </w:rPr>
              <w:t>XX</w:t>
            </w:r>
            <w:r>
              <w:rPr>
                <w:rFonts w:hint="eastAsia"/>
                <w:color w:val="000000"/>
                <w:szCs w:val="21"/>
              </w:rPr>
              <w:t>月</w:t>
            </w:r>
            <w:r>
              <w:rPr>
                <w:rFonts w:hint="eastAsia"/>
                <w:color w:val="000000"/>
                <w:szCs w:val="21"/>
                <w:lang w:val="en-US" w:eastAsia="zh-CN"/>
              </w:rPr>
              <w:t>XX</w:t>
            </w:r>
            <w:r>
              <w:rPr>
                <w:color w:val="000000"/>
                <w:szCs w:val="21"/>
              </w:rPr>
              <w:t>日</w:t>
            </w:r>
            <w:r>
              <w:rPr>
                <w:rFonts w:hint="eastAsia"/>
                <w:color w:val="000000"/>
                <w:szCs w:val="21"/>
                <w:lang w:val="en-US" w:eastAsia="zh-CN"/>
              </w:rPr>
              <w:t>XX</w:t>
            </w:r>
            <w:r>
              <w:rPr>
                <w:color w:val="000000"/>
                <w:szCs w:val="21"/>
              </w:rPr>
              <w:t>时</w:t>
            </w:r>
            <w:r>
              <w:rPr>
                <w:rFonts w:hint="eastAsia"/>
                <w:color w:val="000000"/>
                <w:szCs w:val="21"/>
                <w:lang w:val="en-US" w:eastAsia="zh-CN"/>
              </w:rPr>
              <w:t>XX</w:t>
            </w:r>
            <w:r>
              <w:rPr>
                <w:color w:val="000000"/>
                <w:szCs w:val="21"/>
              </w:rPr>
              <w:t>分前不得开启</w:t>
            </w:r>
            <w:r>
              <w:rPr>
                <w:kern w:val="0"/>
                <w:szCs w:val="21"/>
              </w:rPr>
              <w:t>。</w:t>
            </w:r>
          </w:p>
        </w:tc>
      </w:tr>
      <w:tr w14:paraId="5213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641AF6D2">
            <w:pPr>
              <w:pStyle w:val="14"/>
              <w:spacing w:after="0"/>
              <w:jc w:val="center"/>
              <w:rPr>
                <w:rFonts w:hint="eastAsia" w:ascii="宋体" w:hAnsi="宋体"/>
                <w:szCs w:val="21"/>
              </w:rPr>
            </w:pPr>
            <w:r>
              <w:rPr>
                <w:rFonts w:hint="eastAsia" w:ascii="宋体" w:hAnsi="宋体"/>
                <w:szCs w:val="21"/>
              </w:rPr>
              <w:t>33</w:t>
            </w:r>
          </w:p>
        </w:tc>
        <w:tc>
          <w:tcPr>
            <w:tcW w:w="2153" w:type="dxa"/>
            <w:vAlign w:val="center"/>
          </w:tcPr>
          <w:p w14:paraId="797BC8ED">
            <w:pPr>
              <w:jc w:val="center"/>
              <w:rPr>
                <w:color w:val="000000"/>
                <w:szCs w:val="21"/>
              </w:rPr>
            </w:pPr>
            <w:r>
              <w:rPr>
                <w:color w:val="000000"/>
                <w:szCs w:val="21"/>
              </w:rPr>
              <w:t>是否退还比选</w:t>
            </w:r>
          </w:p>
          <w:p w14:paraId="1CD828DB">
            <w:pPr>
              <w:pStyle w:val="15"/>
              <w:spacing w:line="320" w:lineRule="exact"/>
              <w:jc w:val="center"/>
              <w:rPr>
                <w:rFonts w:hint="eastAsia" w:hAnsi="宋体"/>
              </w:rPr>
            </w:pPr>
            <w:r>
              <w:rPr>
                <w:rFonts w:ascii="Times New Roman" w:hAnsi="Times New Roman"/>
                <w:color w:val="000000"/>
              </w:rPr>
              <w:t>申请文件</w:t>
            </w:r>
          </w:p>
        </w:tc>
        <w:tc>
          <w:tcPr>
            <w:tcW w:w="6212" w:type="dxa"/>
            <w:vAlign w:val="center"/>
          </w:tcPr>
          <w:p w14:paraId="2BA41DAC">
            <w:pPr>
              <w:spacing w:line="360" w:lineRule="auto"/>
              <w:ind w:left="17" w:leftChars="8"/>
              <w:rPr>
                <w:rFonts w:hint="eastAsia" w:ascii="宋体" w:hAnsi="宋体" w:cs="宋体"/>
                <w:szCs w:val="21"/>
              </w:rPr>
            </w:pPr>
            <w:r>
              <w:rPr>
                <w:rFonts w:hint="eastAsia"/>
                <w:kern w:val="0"/>
                <w:szCs w:val="21"/>
              </w:rPr>
              <w:t>否</w:t>
            </w:r>
          </w:p>
        </w:tc>
      </w:tr>
      <w:tr w14:paraId="2B9A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Merge w:val="restart"/>
            <w:vAlign w:val="center"/>
          </w:tcPr>
          <w:p w14:paraId="3F0941AB">
            <w:pPr>
              <w:pStyle w:val="14"/>
              <w:spacing w:after="0"/>
              <w:jc w:val="center"/>
              <w:rPr>
                <w:rFonts w:hint="eastAsia" w:ascii="宋体" w:hAnsi="宋体"/>
                <w:szCs w:val="21"/>
              </w:rPr>
            </w:pPr>
            <w:r>
              <w:rPr>
                <w:rFonts w:hint="eastAsia" w:ascii="宋体" w:hAnsi="宋体"/>
                <w:szCs w:val="21"/>
              </w:rPr>
              <w:t>34</w:t>
            </w:r>
          </w:p>
        </w:tc>
        <w:tc>
          <w:tcPr>
            <w:tcW w:w="2153" w:type="dxa"/>
            <w:vMerge w:val="restart"/>
            <w:vAlign w:val="center"/>
          </w:tcPr>
          <w:p w14:paraId="612911CA">
            <w:pPr>
              <w:pStyle w:val="15"/>
              <w:spacing w:line="320" w:lineRule="exact"/>
              <w:jc w:val="center"/>
              <w:rPr>
                <w:rFonts w:hint="eastAsia" w:hAnsi="宋体"/>
              </w:rPr>
            </w:pPr>
            <w:r>
              <w:rPr>
                <w:rFonts w:hint="eastAsia" w:hAnsi="宋体"/>
              </w:rPr>
              <w:t>开标时间和地点</w:t>
            </w:r>
          </w:p>
        </w:tc>
        <w:tc>
          <w:tcPr>
            <w:tcW w:w="6212" w:type="dxa"/>
            <w:vAlign w:val="center"/>
          </w:tcPr>
          <w:p w14:paraId="7F9C55F5">
            <w:pPr>
              <w:spacing w:line="360" w:lineRule="auto"/>
              <w:ind w:left="17" w:leftChars="8"/>
              <w:rPr>
                <w:rFonts w:hint="eastAsia" w:ascii="宋体" w:hAnsi="宋体" w:cs="宋体"/>
                <w:szCs w:val="21"/>
              </w:rPr>
            </w:pPr>
            <w:r>
              <w:rPr>
                <w:rFonts w:hint="eastAsia" w:ascii="宋体" w:hAnsi="宋体" w:cs="宋体"/>
                <w:szCs w:val="21"/>
              </w:rPr>
              <w:t>开标时间：同比选申请文件递交截止时间</w:t>
            </w:r>
          </w:p>
        </w:tc>
      </w:tr>
      <w:tr w14:paraId="54B4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Merge w:val="continue"/>
            <w:vAlign w:val="center"/>
          </w:tcPr>
          <w:p w14:paraId="671B4069">
            <w:pPr>
              <w:pStyle w:val="15"/>
              <w:spacing w:line="320" w:lineRule="exact"/>
            </w:pPr>
          </w:p>
        </w:tc>
        <w:tc>
          <w:tcPr>
            <w:tcW w:w="2153" w:type="dxa"/>
            <w:vMerge w:val="continue"/>
            <w:vAlign w:val="center"/>
          </w:tcPr>
          <w:p w14:paraId="1B82FB13">
            <w:pPr>
              <w:pStyle w:val="15"/>
              <w:spacing w:line="320" w:lineRule="exact"/>
            </w:pPr>
          </w:p>
        </w:tc>
        <w:tc>
          <w:tcPr>
            <w:tcW w:w="6212" w:type="dxa"/>
            <w:vAlign w:val="center"/>
          </w:tcPr>
          <w:p w14:paraId="0AE6D635">
            <w:pPr>
              <w:spacing w:line="360" w:lineRule="auto"/>
              <w:ind w:left="17" w:leftChars="8"/>
              <w:rPr>
                <w:rFonts w:hint="eastAsia" w:ascii="宋体" w:hAnsi="宋体" w:cs="宋体"/>
                <w:szCs w:val="21"/>
              </w:rPr>
            </w:pPr>
            <w:r>
              <w:rPr>
                <w:color w:val="000000"/>
                <w:szCs w:val="21"/>
              </w:rPr>
              <w:t>开标地点：</w:t>
            </w:r>
            <w:bookmarkStart w:id="13" w:name="OLE_LINK3"/>
            <w:bookmarkStart w:id="14" w:name="OLE_LINK5"/>
            <w:r>
              <w:rPr>
                <w:rFonts w:hint="default" w:ascii="Times New Roman" w:hAnsi="Times New Roman" w:eastAsia="宋体" w:cs="Times New Roman"/>
                <w:b w:val="0"/>
                <w:bCs w:val="0"/>
                <w:color w:val="000000"/>
                <w:kern w:val="2"/>
                <w:sz w:val="21"/>
                <w:szCs w:val="21"/>
                <w:highlight w:val="none"/>
                <w:lang w:val="en-US" w:eastAsia="zh-CN" w:bidi="ar-SA"/>
              </w:rPr>
              <w:t>成都市高新区创业路1号剑恒发展中心商业楼2楼会议室</w:t>
            </w:r>
            <w:bookmarkEnd w:id="13"/>
            <w:r>
              <w:rPr>
                <w:rFonts w:hint="default" w:ascii="Times New Roman" w:hAnsi="Times New Roman" w:eastAsia="宋体" w:cs="Times New Roman"/>
                <w:b w:val="0"/>
                <w:bCs w:val="0"/>
                <w:color w:val="000000"/>
                <w:kern w:val="2"/>
                <w:sz w:val="21"/>
                <w:szCs w:val="21"/>
                <w:highlight w:val="none"/>
                <w:lang w:val="en-US" w:eastAsia="zh-CN" w:bidi="ar-SA"/>
              </w:rPr>
              <w:t>（洽谈室二）</w:t>
            </w:r>
            <w:bookmarkEnd w:id="14"/>
          </w:p>
        </w:tc>
      </w:tr>
      <w:tr w14:paraId="228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60" w:type="dxa"/>
            <w:vAlign w:val="center"/>
          </w:tcPr>
          <w:p w14:paraId="262B5DE5">
            <w:pPr>
              <w:pStyle w:val="14"/>
              <w:spacing w:after="0" w:line="360" w:lineRule="auto"/>
              <w:jc w:val="center"/>
              <w:rPr>
                <w:rFonts w:ascii="宋体"/>
                <w:szCs w:val="21"/>
              </w:rPr>
            </w:pPr>
            <w:r>
              <w:rPr>
                <w:rFonts w:hint="eastAsia" w:ascii="宋体" w:hAnsi="宋体"/>
                <w:szCs w:val="21"/>
              </w:rPr>
              <w:t>35</w:t>
            </w:r>
          </w:p>
        </w:tc>
        <w:tc>
          <w:tcPr>
            <w:tcW w:w="2153" w:type="dxa"/>
            <w:vAlign w:val="center"/>
          </w:tcPr>
          <w:p w14:paraId="68BDD515">
            <w:pPr>
              <w:pStyle w:val="15"/>
              <w:spacing w:line="320" w:lineRule="exact"/>
              <w:jc w:val="center"/>
              <w:rPr>
                <w:rFonts w:hint="eastAsia" w:hAnsi="宋体"/>
              </w:rPr>
            </w:pPr>
            <w:r>
              <w:rPr>
                <w:rFonts w:hint="eastAsia" w:hAnsi="宋体"/>
              </w:rPr>
              <w:t>开标程序</w:t>
            </w:r>
          </w:p>
        </w:tc>
        <w:tc>
          <w:tcPr>
            <w:tcW w:w="6212" w:type="dxa"/>
            <w:vAlign w:val="center"/>
          </w:tcPr>
          <w:p w14:paraId="55A47DFD">
            <w:pPr>
              <w:spacing w:line="360" w:lineRule="auto"/>
              <w:ind w:left="17" w:leftChars="8"/>
              <w:rPr>
                <w:rFonts w:hint="eastAsia" w:ascii="宋体" w:hAnsi="宋体" w:cs="宋体"/>
                <w:szCs w:val="21"/>
              </w:rPr>
            </w:pPr>
            <w:r>
              <w:rPr>
                <w:rFonts w:hint="eastAsia"/>
                <w:kern w:val="0"/>
                <w:szCs w:val="21"/>
              </w:rPr>
              <w:t>开标</w:t>
            </w:r>
            <w:r>
              <w:rPr>
                <w:kern w:val="0"/>
                <w:szCs w:val="21"/>
              </w:rPr>
              <w:t>顺序：不分递交先后顺序随机开启</w:t>
            </w:r>
          </w:p>
        </w:tc>
      </w:tr>
      <w:tr w14:paraId="545A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60" w:type="dxa"/>
            <w:vAlign w:val="center"/>
          </w:tcPr>
          <w:p w14:paraId="7903DC03">
            <w:pPr>
              <w:pStyle w:val="15"/>
              <w:spacing w:line="320" w:lineRule="exact"/>
              <w:jc w:val="center"/>
              <w:rPr>
                <w:rFonts w:hint="eastAsia" w:hAnsi="宋体"/>
              </w:rPr>
            </w:pPr>
            <w:r>
              <w:rPr>
                <w:rFonts w:hint="eastAsia" w:hAnsi="宋体"/>
              </w:rPr>
              <w:t>36</w:t>
            </w:r>
          </w:p>
        </w:tc>
        <w:tc>
          <w:tcPr>
            <w:tcW w:w="2153" w:type="dxa"/>
            <w:vAlign w:val="center"/>
          </w:tcPr>
          <w:p w14:paraId="241C4DD6">
            <w:pPr>
              <w:spacing w:line="360" w:lineRule="auto"/>
              <w:jc w:val="center"/>
              <w:rPr>
                <w:rFonts w:hint="eastAsia" w:hAnsi="宋体"/>
              </w:rPr>
            </w:pPr>
            <w:r>
              <w:rPr>
                <w:color w:val="000000"/>
                <w:szCs w:val="21"/>
              </w:rPr>
              <w:t>评</w:t>
            </w:r>
            <w:r>
              <w:rPr>
                <w:rFonts w:hint="eastAsia"/>
                <w:color w:val="000000"/>
                <w:szCs w:val="21"/>
              </w:rPr>
              <w:t>审</w:t>
            </w:r>
            <w:r>
              <w:rPr>
                <w:color w:val="000000"/>
                <w:szCs w:val="21"/>
              </w:rPr>
              <w:t>办法</w:t>
            </w:r>
          </w:p>
        </w:tc>
        <w:tc>
          <w:tcPr>
            <w:tcW w:w="6212" w:type="dxa"/>
            <w:vAlign w:val="center"/>
          </w:tcPr>
          <w:p w14:paraId="6CE2D033">
            <w:pPr>
              <w:pStyle w:val="14"/>
              <w:spacing w:after="0" w:line="360" w:lineRule="auto"/>
              <w:ind w:right="149" w:rightChars="71"/>
              <w:rPr>
                <w:szCs w:val="21"/>
              </w:rPr>
            </w:pPr>
            <w:r>
              <w:rPr>
                <w:rFonts w:hint="eastAsia"/>
                <w:color w:val="000000"/>
                <w:szCs w:val="21"/>
                <w:lang w:eastAsia="zh-CN"/>
              </w:rPr>
              <w:t>综合评</w:t>
            </w:r>
            <w:r>
              <w:rPr>
                <w:rFonts w:hint="eastAsia"/>
                <w:color w:val="000000"/>
                <w:szCs w:val="21"/>
                <w:lang w:val="en-US" w:eastAsia="zh-CN"/>
              </w:rPr>
              <w:t>分</w:t>
            </w:r>
            <w:r>
              <w:rPr>
                <w:rFonts w:hint="eastAsia"/>
                <w:color w:val="000000"/>
                <w:szCs w:val="21"/>
                <w:lang w:eastAsia="zh-CN"/>
              </w:rPr>
              <w:t>法</w:t>
            </w:r>
            <w:r>
              <w:rPr>
                <w:szCs w:val="21"/>
              </w:rPr>
              <w:t>。具体见“第三章 评</w:t>
            </w:r>
            <w:r>
              <w:rPr>
                <w:rFonts w:hint="eastAsia"/>
                <w:szCs w:val="21"/>
              </w:rPr>
              <w:t>审</w:t>
            </w:r>
            <w:r>
              <w:rPr>
                <w:szCs w:val="21"/>
              </w:rPr>
              <w:t>办法”。</w:t>
            </w:r>
          </w:p>
        </w:tc>
      </w:tr>
      <w:tr w14:paraId="177E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60" w:type="dxa"/>
            <w:vAlign w:val="center"/>
          </w:tcPr>
          <w:p w14:paraId="201684C1">
            <w:pPr>
              <w:pStyle w:val="15"/>
              <w:spacing w:line="320" w:lineRule="exact"/>
              <w:jc w:val="center"/>
              <w:rPr>
                <w:rFonts w:hint="eastAsia" w:hAnsi="宋体"/>
              </w:rPr>
            </w:pPr>
            <w:r>
              <w:rPr>
                <w:rFonts w:hint="eastAsia" w:hAnsi="宋体"/>
              </w:rPr>
              <w:t>37</w:t>
            </w:r>
          </w:p>
        </w:tc>
        <w:tc>
          <w:tcPr>
            <w:tcW w:w="2153" w:type="dxa"/>
            <w:vAlign w:val="center"/>
          </w:tcPr>
          <w:p w14:paraId="1AEFA31A">
            <w:pPr>
              <w:spacing w:line="360" w:lineRule="auto"/>
              <w:jc w:val="center"/>
              <w:rPr>
                <w:rFonts w:hint="eastAsia" w:hAnsi="宋体"/>
              </w:rPr>
            </w:pPr>
            <w:r>
              <w:rPr>
                <w:color w:val="000000"/>
                <w:szCs w:val="21"/>
              </w:rPr>
              <w:t>是否授权评</w:t>
            </w:r>
            <w:r>
              <w:rPr>
                <w:rFonts w:hint="eastAsia"/>
                <w:color w:val="000000"/>
                <w:szCs w:val="21"/>
              </w:rPr>
              <w:t>审</w:t>
            </w:r>
            <w:r>
              <w:rPr>
                <w:color w:val="000000"/>
                <w:szCs w:val="21"/>
              </w:rPr>
              <w:t>委员会确定</w:t>
            </w:r>
            <w:r>
              <w:rPr>
                <w:rFonts w:hint="eastAsia"/>
                <w:color w:val="000000"/>
                <w:szCs w:val="21"/>
              </w:rPr>
              <w:t>中选</w:t>
            </w:r>
            <w:r>
              <w:rPr>
                <w:color w:val="000000"/>
                <w:szCs w:val="21"/>
              </w:rPr>
              <w:t>人</w:t>
            </w:r>
          </w:p>
        </w:tc>
        <w:tc>
          <w:tcPr>
            <w:tcW w:w="6212" w:type="dxa"/>
            <w:vAlign w:val="center"/>
          </w:tcPr>
          <w:p w14:paraId="7650DEC1">
            <w:pPr>
              <w:spacing w:line="360" w:lineRule="auto"/>
              <w:rPr>
                <w:szCs w:val="21"/>
              </w:rPr>
            </w:pPr>
            <w:r>
              <w:rPr>
                <w:color w:val="000000"/>
                <w:szCs w:val="21"/>
                <w:u w:val="single"/>
              </w:rPr>
              <w:t>否</w:t>
            </w:r>
            <w:r>
              <w:rPr>
                <w:rFonts w:hint="eastAsia"/>
                <w:color w:val="000000"/>
                <w:szCs w:val="21"/>
                <w:u w:val="single"/>
              </w:rPr>
              <w:t>，</w:t>
            </w:r>
            <w:r>
              <w:rPr>
                <w:color w:val="000000"/>
                <w:szCs w:val="21"/>
              </w:rPr>
              <w:t>由评</w:t>
            </w:r>
            <w:r>
              <w:rPr>
                <w:szCs w:val="21"/>
              </w:rPr>
              <w:t>审委员会推荐1～3名中选候选人（若不足3名时按实际数量推荐），综合评分相等时，以报价低的优先；报价也相等的，</w:t>
            </w:r>
            <w:r>
              <w:rPr>
                <w:rFonts w:hint="eastAsia"/>
                <w:szCs w:val="21"/>
              </w:rPr>
              <w:t>以</w:t>
            </w:r>
            <w:r>
              <w:rPr>
                <w:szCs w:val="21"/>
              </w:rPr>
              <w:t>商务和技术</w:t>
            </w:r>
            <w:r>
              <w:rPr>
                <w:rFonts w:hint="eastAsia"/>
                <w:szCs w:val="21"/>
              </w:rPr>
              <w:t>部分合计</w:t>
            </w:r>
            <w:r>
              <w:rPr>
                <w:szCs w:val="21"/>
              </w:rPr>
              <w:t>得分高的。</w:t>
            </w:r>
          </w:p>
        </w:tc>
      </w:tr>
      <w:tr w14:paraId="402D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60" w:type="dxa"/>
            <w:vAlign w:val="center"/>
          </w:tcPr>
          <w:p w14:paraId="6C52EF85">
            <w:pPr>
              <w:pStyle w:val="15"/>
              <w:spacing w:line="320" w:lineRule="exact"/>
              <w:jc w:val="center"/>
              <w:rPr>
                <w:rFonts w:hint="eastAsia" w:hAnsi="宋体"/>
              </w:rPr>
            </w:pPr>
            <w:r>
              <w:rPr>
                <w:rFonts w:hint="eastAsia" w:hAnsi="宋体"/>
              </w:rPr>
              <w:t>38</w:t>
            </w:r>
          </w:p>
        </w:tc>
        <w:tc>
          <w:tcPr>
            <w:tcW w:w="2153" w:type="dxa"/>
            <w:vAlign w:val="center"/>
          </w:tcPr>
          <w:p w14:paraId="44BBB35B">
            <w:pPr>
              <w:pStyle w:val="15"/>
              <w:spacing w:line="320" w:lineRule="exact"/>
              <w:jc w:val="center"/>
              <w:rPr>
                <w:rFonts w:hint="eastAsia" w:hAnsi="宋体"/>
              </w:rPr>
            </w:pPr>
            <w:r>
              <w:rPr>
                <w:rFonts w:hint="eastAsia" w:hAnsi="宋体"/>
              </w:rPr>
              <w:t>履约担保</w:t>
            </w:r>
          </w:p>
        </w:tc>
        <w:tc>
          <w:tcPr>
            <w:tcW w:w="6212" w:type="dxa"/>
            <w:vAlign w:val="center"/>
          </w:tcPr>
          <w:p w14:paraId="269BC04F">
            <w:pPr>
              <w:pStyle w:val="15"/>
              <w:spacing w:line="360" w:lineRule="auto"/>
              <w:rPr>
                <w:rFonts w:hint="eastAsia" w:hAnsi="宋体"/>
              </w:rPr>
            </w:pPr>
            <w:r>
              <w:rPr>
                <w:rFonts w:hint="eastAsia"/>
                <w:szCs w:val="21"/>
                <w:lang w:val="en-US" w:eastAsia="zh-CN"/>
              </w:rPr>
              <w:t>不要求</w:t>
            </w:r>
          </w:p>
        </w:tc>
      </w:tr>
      <w:tr w14:paraId="1E5F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60" w:type="dxa"/>
            <w:vAlign w:val="center"/>
          </w:tcPr>
          <w:p w14:paraId="2851E62E">
            <w:pPr>
              <w:pStyle w:val="15"/>
              <w:spacing w:line="320" w:lineRule="exact"/>
              <w:ind w:left="-105" w:leftChars="-50" w:right="-105" w:rightChars="-50"/>
              <w:jc w:val="center"/>
              <w:rPr>
                <w:rFonts w:hint="eastAsia" w:hAnsi="宋体" w:cs="Courier New"/>
              </w:rPr>
            </w:pPr>
            <w:r>
              <w:rPr>
                <w:rFonts w:hint="eastAsia" w:hAnsi="宋体" w:cs="Courier New"/>
              </w:rPr>
              <w:t>39</w:t>
            </w:r>
          </w:p>
        </w:tc>
        <w:tc>
          <w:tcPr>
            <w:tcW w:w="2153" w:type="dxa"/>
            <w:vAlign w:val="center"/>
          </w:tcPr>
          <w:p w14:paraId="68F83C23">
            <w:pPr>
              <w:pStyle w:val="15"/>
              <w:spacing w:line="320" w:lineRule="exact"/>
              <w:jc w:val="center"/>
              <w:rPr>
                <w:rFonts w:hint="eastAsia" w:hAnsi="宋体" w:cs="Courier New"/>
              </w:rPr>
            </w:pPr>
            <w:r>
              <w:rPr>
                <w:rFonts w:hint="eastAsia" w:hAnsi="宋体" w:cs="Courier New"/>
              </w:rPr>
              <w:t>签订合同</w:t>
            </w:r>
          </w:p>
        </w:tc>
        <w:tc>
          <w:tcPr>
            <w:tcW w:w="6212" w:type="dxa"/>
          </w:tcPr>
          <w:p w14:paraId="16280B38">
            <w:pPr>
              <w:spacing w:line="360" w:lineRule="auto"/>
              <w:rPr>
                <w:b/>
                <w:bCs/>
                <w:sz w:val="32"/>
              </w:rPr>
            </w:pPr>
            <w:r>
              <w:rPr>
                <w:rFonts w:hint="eastAsia"/>
              </w:rPr>
              <w:t>（</w:t>
            </w:r>
            <w:r>
              <w:t>1</w:t>
            </w:r>
            <w:r>
              <w:rPr>
                <w:rFonts w:hint="eastAsia"/>
              </w:rPr>
              <w:t>）签约合同价：经修正后中选人的比选申请报价</w:t>
            </w:r>
            <w:r>
              <w:rPr>
                <w:rFonts w:hint="eastAsia" w:ascii="宋体" w:hAnsi="宋体" w:cs="Courier New"/>
                <w:spacing w:val="-8"/>
                <w:szCs w:val="21"/>
              </w:rPr>
              <w:t>；</w:t>
            </w:r>
          </w:p>
          <w:p w14:paraId="19432A87">
            <w:pPr>
              <w:pStyle w:val="15"/>
              <w:spacing w:line="360" w:lineRule="auto"/>
              <w:rPr>
                <w:rFonts w:cs="Courier New"/>
              </w:rPr>
            </w:pPr>
            <w:r>
              <w:rPr>
                <w:rFonts w:hint="eastAsia" w:cs="Courier New"/>
              </w:rPr>
              <w:t>（2）</w:t>
            </w:r>
            <w:r>
              <w:rPr>
                <w:rFonts w:hint="eastAsia" w:cs="Courier New"/>
                <w:kern w:val="0"/>
              </w:rPr>
              <w:t>比选人和中选人应当自中标通知书发出之日起30日内，按照比选文件和中选人的比选申请文件订立书面合同，合同的标的、价格、质量、安全、履行期限等主要条款应当与比选文件的合同内容一致。比选人和中选人不得再行订立背离合同实质性内容的其他协议</w:t>
            </w:r>
            <w:r>
              <w:rPr>
                <w:rFonts w:hint="eastAsia" w:cs="Courier New"/>
              </w:rPr>
              <w:t>；</w:t>
            </w:r>
          </w:p>
          <w:p w14:paraId="40C345F3">
            <w:pPr>
              <w:pStyle w:val="15"/>
              <w:spacing w:line="360" w:lineRule="auto"/>
              <w:rPr>
                <w:rFonts w:hint="eastAsia" w:hAnsi="宋体" w:cs="Courier New"/>
                <w:spacing w:val="-4"/>
              </w:rPr>
            </w:pPr>
            <w:r>
              <w:rPr>
                <w:rFonts w:hint="eastAsia" w:hAnsi="宋体" w:cs="Courier New"/>
              </w:rPr>
              <w:t>（3）</w:t>
            </w:r>
            <w:r>
              <w:rPr>
                <w:rFonts w:hint="eastAsia" w:hAnsi="宋体" w:cs="Courier New"/>
                <w:spacing w:val="-4"/>
              </w:rPr>
              <w:t>中选人拒签合同的，比选人取消其中标资格。</w:t>
            </w:r>
          </w:p>
        </w:tc>
      </w:tr>
      <w:tr w14:paraId="4B56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960" w:type="dxa"/>
            <w:vAlign w:val="center"/>
          </w:tcPr>
          <w:p w14:paraId="48CD2307">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40</w:t>
            </w:r>
          </w:p>
        </w:tc>
        <w:tc>
          <w:tcPr>
            <w:tcW w:w="2153" w:type="dxa"/>
            <w:vAlign w:val="center"/>
          </w:tcPr>
          <w:p w14:paraId="00C5B031">
            <w:pPr>
              <w:pStyle w:val="15"/>
              <w:spacing w:line="320" w:lineRule="exact"/>
              <w:jc w:val="center"/>
              <w:rPr>
                <w:rFonts w:hint="eastAsia" w:hAnsi="宋体"/>
              </w:rPr>
            </w:pPr>
            <w:r>
              <w:rPr>
                <w:rFonts w:hint="eastAsia" w:ascii="Times New Roman" w:hAnsi="Times New Roman"/>
              </w:rPr>
              <w:t>★</w:t>
            </w:r>
            <w:r>
              <w:rPr>
                <w:rFonts w:hint="eastAsia" w:hAnsi="宋体"/>
              </w:rPr>
              <w:t>分包</w:t>
            </w:r>
          </w:p>
        </w:tc>
        <w:tc>
          <w:tcPr>
            <w:tcW w:w="6212" w:type="dxa"/>
            <w:vAlign w:val="center"/>
          </w:tcPr>
          <w:p w14:paraId="3B0509D0">
            <w:pPr>
              <w:pStyle w:val="15"/>
              <w:spacing w:line="320" w:lineRule="exact"/>
              <w:rPr>
                <w:rFonts w:hint="eastAsia" w:hAnsi="宋体"/>
              </w:rPr>
            </w:pPr>
            <w:r>
              <w:rPr>
                <w:rFonts w:hint="eastAsia" w:hAnsi="宋体"/>
              </w:rPr>
              <w:t>本项目严禁转包和分包。</w:t>
            </w:r>
          </w:p>
        </w:tc>
      </w:tr>
      <w:tr w14:paraId="1147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48968CDF">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41</w:t>
            </w:r>
          </w:p>
        </w:tc>
        <w:tc>
          <w:tcPr>
            <w:tcW w:w="2153" w:type="dxa"/>
            <w:vAlign w:val="center"/>
          </w:tcPr>
          <w:p w14:paraId="52A72F89">
            <w:pPr>
              <w:pStyle w:val="15"/>
              <w:spacing w:line="340" w:lineRule="exact"/>
              <w:jc w:val="center"/>
              <w:rPr>
                <w:rFonts w:ascii="Times New Roman" w:hAnsi="Times New Roman"/>
              </w:rPr>
            </w:pPr>
            <w:r>
              <w:rPr>
                <w:rFonts w:hint="eastAsia" w:ascii="Times New Roman" w:hAnsi="Times New Roman"/>
              </w:rPr>
              <w:t>重新比选</w:t>
            </w:r>
          </w:p>
        </w:tc>
        <w:tc>
          <w:tcPr>
            <w:tcW w:w="6212" w:type="dxa"/>
            <w:vAlign w:val="center"/>
          </w:tcPr>
          <w:p w14:paraId="72D78384">
            <w:pPr>
              <w:pStyle w:val="15"/>
              <w:spacing w:line="360" w:lineRule="auto"/>
              <w:rPr>
                <w:rFonts w:hint="eastAsia" w:hAnsi="宋体"/>
              </w:rPr>
            </w:pPr>
            <w:r>
              <w:rPr>
                <w:rFonts w:hint="eastAsia" w:hAnsi="宋体"/>
              </w:rPr>
              <w:t>有下列情形之一的，比选人应重新比选：</w:t>
            </w:r>
          </w:p>
          <w:p w14:paraId="50DD5C9B">
            <w:pPr>
              <w:pStyle w:val="15"/>
              <w:numPr>
                <w:ilvl w:val="0"/>
                <w:numId w:val="5"/>
              </w:numPr>
              <w:spacing w:line="360" w:lineRule="auto"/>
              <w:rPr>
                <w:rFonts w:hint="eastAsia" w:hAnsi="宋体"/>
              </w:rPr>
            </w:pPr>
            <w:r>
              <w:rPr>
                <w:rFonts w:hint="eastAsia" w:hAnsi="宋体"/>
              </w:rPr>
              <w:t>比选申请截止时间止，递交比选申请文件的比选申请人少于3个的；</w:t>
            </w:r>
          </w:p>
          <w:p w14:paraId="573697AD">
            <w:pPr>
              <w:pStyle w:val="15"/>
              <w:numPr>
                <w:ilvl w:val="0"/>
                <w:numId w:val="5"/>
              </w:numPr>
              <w:spacing w:line="360" w:lineRule="auto"/>
              <w:rPr>
                <w:rFonts w:hint="eastAsia" w:hAnsi="宋体"/>
              </w:rPr>
            </w:pPr>
            <w:r>
              <w:rPr>
                <w:rFonts w:hint="eastAsia" w:hAnsi="宋体"/>
              </w:rPr>
              <w:t>评审委员会评审后否决所有比选申请的；</w:t>
            </w:r>
          </w:p>
          <w:p w14:paraId="64659ADE">
            <w:pPr>
              <w:pStyle w:val="15"/>
              <w:numPr>
                <w:ilvl w:val="0"/>
                <w:numId w:val="5"/>
              </w:numPr>
              <w:spacing w:line="360" w:lineRule="auto"/>
              <w:rPr>
                <w:rFonts w:hint="eastAsia" w:hAnsi="宋体"/>
              </w:rPr>
            </w:pPr>
            <w:r>
              <w:rPr>
                <w:rFonts w:hint="eastAsia" w:hAnsi="宋体"/>
              </w:rPr>
              <w:t>中选人未能与比选人签订合同协议的；</w:t>
            </w:r>
          </w:p>
          <w:p w14:paraId="28F31A61">
            <w:pPr>
              <w:pStyle w:val="15"/>
              <w:numPr>
                <w:ilvl w:val="0"/>
                <w:numId w:val="5"/>
              </w:numPr>
              <w:spacing w:line="360" w:lineRule="auto"/>
              <w:rPr>
                <w:rFonts w:hint="eastAsia" w:hAnsi="宋体"/>
              </w:rPr>
            </w:pPr>
            <w:r>
              <w:rPr>
                <w:rFonts w:hint="eastAsia" w:hAnsi="宋体"/>
              </w:rPr>
              <w:t>法律规定的其他情形。</w:t>
            </w:r>
          </w:p>
        </w:tc>
      </w:tr>
      <w:tr w14:paraId="72B2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0A6A6197">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42</w:t>
            </w:r>
          </w:p>
        </w:tc>
        <w:tc>
          <w:tcPr>
            <w:tcW w:w="2153" w:type="dxa"/>
            <w:vAlign w:val="center"/>
          </w:tcPr>
          <w:p w14:paraId="2E2E90CF">
            <w:pPr>
              <w:pStyle w:val="15"/>
              <w:spacing w:line="340" w:lineRule="exact"/>
              <w:jc w:val="center"/>
              <w:rPr>
                <w:rFonts w:ascii="Times New Roman" w:hAnsi="Times New Roman"/>
              </w:rPr>
            </w:pPr>
            <w:r>
              <w:rPr>
                <w:rFonts w:hint="eastAsia" w:ascii="Times New Roman" w:hAnsi="Times New Roman"/>
              </w:rPr>
              <w:t>★限制参选的情形</w:t>
            </w:r>
          </w:p>
        </w:tc>
        <w:tc>
          <w:tcPr>
            <w:tcW w:w="6212" w:type="dxa"/>
            <w:vAlign w:val="center"/>
          </w:tcPr>
          <w:p w14:paraId="4B761C75">
            <w:pPr>
              <w:numPr>
                <w:ilvl w:val="0"/>
                <w:numId w:val="6"/>
              </w:numPr>
              <w:spacing w:line="360" w:lineRule="auto"/>
            </w:pPr>
            <w:r>
              <w:t>为</w:t>
            </w:r>
            <w:r>
              <w:rPr>
                <w:rFonts w:hint="eastAsia"/>
              </w:rPr>
              <w:t>比选人</w:t>
            </w:r>
            <w:r>
              <w:t>不具有独立法人资格的附属机构（单位）；</w:t>
            </w:r>
          </w:p>
          <w:p w14:paraId="0D2E8462">
            <w:pPr>
              <w:spacing w:line="360" w:lineRule="auto"/>
            </w:pPr>
            <w:r>
              <w:rPr>
                <w:rFonts w:hint="eastAsia"/>
              </w:rPr>
              <w:t>2、</w:t>
            </w:r>
            <w:r>
              <w:t>被责令停业的</w:t>
            </w:r>
            <w:r>
              <w:rPr>
                <w:rFonts w:hint="eastAsia"/>
              </w:rPr>
              <w:t>；</w:t>
            </w:r>
          </w:p>
          <w:p w14:paraId="4C9948D7">
            <w:pPr>
              <w:spacing w:line="360" w:lineRule="auto"/>
            </w:pPr>
            <w:r>
              <w:rPr>
                <w:rFonts w:hint="eastAsia"/>
              </w:rPr>
              <w:t>3、</w:t>
            </w:r>
            <w:r>
              <w:t>被暂停或取消投标资格的；</w:t>
            </w:r>
          </w:p>
          <w:p w14:paraId="2F8C4483">
            <w:pPr>
              <w:spacing w:line="360" w:lineRule="auto"/>
            </w:pPr>
            <w:r>
              <w:rPr>
                <w:rFonts w:hint="eastAsia"/>
              </w:rPr>
              <w:t>4、</w:t>
            </w:r>
            <w:r>
              <w:t>财产被接管或冻结的</w:t>
            </w:r>
            <w:r>
              <w:rPr>
                <w:rFonts w:hint="eastAsia"/>
              </w:rPr>
              <w:t>；</w:t>
            </w:r>
          </w:p>
          <w:p w14:paraId="332D185A">
            <w:pPr>
              <w:spacing w:line="360" w:lineRule="auto"/>
            </w:pPr>
            <w:r>
              <w:rPr>
                <w:rFonts w:hint="eastAsia"/>
              </w:rPr>
              <w:t>5、</w:t>
            </w:r>
            <w:r>
              <w:t>在最近三年内有骗取</w:t>
            </w:r>
            <w:r>
              <w:rPr>
                <w:rFonts w:hint="eastAsia"/>
              </w:rPr>
              <w:t>中选</w:t>
            </w:r>
            <w:r>
              <w:t>或严重违约的</w:t>
            </w:r>
            <w:r>
              <w:rPr>
                <w:rFonts w:hint="eastAsia"/>
              </w:rPr>
              <w:t>；</w:t>
            </w:r>
          </w:p>
          <w:p w14:paraId="640C0877">
            <w:pPr>
              <w:spacing w:line="360" w:lineRule="auto"/>
            </w:pPr>
            <w:r>
              <w:rPr>
                <w:rFonts w:hint="eastAsia"/>
              </w:rPr>
              <w:t>6、</w:t>
            </w:r>
            <w:r>
              <w:t>与</w:t>
            </w:r>
            <w:r>
              <w:rPr>
                <w:rFonts w:hint="eastAsia"/>
              </w:rPr>
              <w:t>比选人</w:t>
            </w:r>
            <w:r>
              <w:t>存在利害关系且可能影响招标公正性的；</w:t>
            </w:r>
          </w:p>
          <w:p w14:paraId="3CAD99EB">
            <w:pPr>
              <w:spacing w:line="360" w:lineRule="auto"/>
            </w:pPr>
            <w:r>
              <w:rPr>
                <w:rFonts w:hint="eastAsia"/>
              </w:rPr>
              <w:t>7、</w:t>
            </w:r>
            <w:r>
              <w:t>在最近三年内</w:t>
            </w:r>
            <w:r>
              <w:rPr>
                <w:rFonts w:hint="eastAsia"/>
              </w:rPr>
              <w:t>比选申请人</w:t>
            </w:r>
            <w:r>
              <w:t>或其法定代表人有行贿犯罪行为的；</w:t>
            </w:r>
          </w:p>
          <w:p w14:paraId="6AF69A4B">
            <w:pPr>
              <w:spacing w:line="360" w:lineRule="auto"/>
            </w:pPr>
            <w:r>
              <w:t>8</w:t>
            </w:r>
            <w:r>
              <w:rPr>
                <w:rFonts w:hint="eastAsia"/>
              </w:rPr>
              <w:t>、</w:t>
            </w:r>
            <w:r>
              <w:t>根据国家或四川省有关部门制定的其他联合惩戒措施规范性文件（联合惩戒措施包括限制参与工程招投标或限制参与政府采购活动），被列为联合惩戒对象的。</w:t>
            </w:r>
          </w:p>
          <w:p w14:paraId="118A2BDB">
            <w:pPr>
              <w:numPr>
                <w:ilvl w:val="-1"/>
                <w:numId w:val="0"/>
              </w:numPr>
              <w:spacing w:line="360" w:lineRule="auto"/>
            </w:pPr>
            <w:r>
              <w:t>9、弄虚作假、恶意串通、营私舞弊等严重不诚信行为的；</w:t>
            </w:r>
          </w:p>
          <w:p w14:paraId="7CC126BA">
            <w:pPr>
              <w:spacing w:line="360" w:lineRule="auto"/>
            </w:pPr>
            <w:r>
              <w:t>10、与比选人存在利害关系可能影响招标公正性的法人、其他组织或者个人，不得参加投标；单位负责人为同一人或者存在控股、管理关系的不同单位，不得参加同一标段投标。否则，均视为无效投标。</w:t>
            </w:r>
          </w:p>
          <w:p w14:paraId="18F7BA4A">
            <w:pPr>
              <w:spacing w:line="360" w:lineRule="auto"/>
              <w:rPr>
                <w:rFonts w:hint="eastAsia" w:hAnsi="宋体"/>
              </w:rPr>
            </w:pPr>
            <w:r>
              <w:t>11、不符合相关法律法规及本次比</w:t>
            </w:r>
            <w:r>
              <w:rPr>
                <w:rFonts w:hint="eastAsia" w:cs="Times New Roman"/>
              </w:rPr>
              <w:t>选文件</w:t>
            </w:r>
            <w:r>
              <w:rPr>
                <w:rFonts w:hint="eastAsia" w:ascii="Times New Roman" w:hAnsi="Times New Roman" w:eastAsia="宋体" w:cs="Times New Roman"/>
              </w:rPr>
              <w:t>要求的情形。</w:t>
            </w:r>
          </w:p>
        </w:tc>
      </w:tr>
      <w:tr w14:paraId="6886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4045FED1">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43</w:t>
            </w:r>
          </w:p>
        </w:tc>
        <w:tc>
          <w:tcPr>
            <w:tcW w:w="2153" w:type="dxa"/>
            <w:vAlign w:val="center"/>
          </w:tcPr>
          <w:p w14:paraId="584D7642">
            <w:pPr>
              <w:pStyle w:val="15"/>
              <w:spacing w:line="340" w:lineRule="exact"/>
              <w:jc w:val="center"/>
              <w:rPr>
                <w:rFonts w:ascii="Times New Roman" w:hAnsi="Times New Roman"/>
              </w:rPr>
            </w:pPr>
            <w:r>
              <w:rPr>
                <w:rFonts w:hint="eastAsia" w:ascii="Times New Roman" w:hAnsi="Times New Roman"/>
              </w:rPr>
              <w:t>★比选申请文件的真实性要求</w:t>
            </w:r>
          </w:p>
        </w:tc>
        <w:tc>
          <w:tcPr>
            <w:tcW w:w="6212" w:type="dxa"/>
            <w:vAlign w:val="center"/>
          </w:tcPr>
          <w:p w14:paraId="2EBEB61E">
            <w:pPr>
              <w:spacing w:line="360" w:lineRule="auto"/>
              <w:ind w:left="17" w:leftChars="8"/>
              <w:rPr>
                <w:szCs w:val="21"/>
              </w:rPr>
            </w:pPr>
            <w:r>
              <w:rPr>
                <w:rFonts w:hint="eastAsia"/>
                <w:szCs w:val="21"/>
              </w:rPr>
              <w:t>1、比选申请人</w:t>
            </w:r>
            <w:r>
              <w:rPr>
                <w:szCs w:val="21"/>
              </w:rPr>
              <w:t>所递交的</w:t>
            </w:r>
            <w:r>
              <w:rPr>
                <w:rFonts w:hint="eastAsia"/>
                <w:szCs w:val="21"/>
              </w:rPr>
              <w:t>比选申请文件</w:t>
            </w:r>
            <w:r>
              <w:rPr>
                <w:szCs w:val="21"/>
              </w:rPr>
              <w:t>（包括有关资料、澄清）应不存在弄虚作假或隐瞒。</w:t>
            </w:r>
          </w:p>
          <w:p w14:paraId="655D6534">
            <w:pPr>
              <w:spacing w:line="360" w:lineRule="auto"/>
              <w:ind w:left="17" w:leftChars="8"/>
              <w:rPr>
                <w:szCs w:val="21"/>
              </w:rPr>
            </w:pPr>
            <w:r>
              <w:rPr>
                <w:rFonts w:hint="eastAsia"/>
                <w:szCs w:val="21"/>
              </w:rPr>
              <w:t>2、比选申请人</w:t>
            </w:r>
            <w:r>
              <w:rPr>
                <w:szCs w:val="21"/>
              </w:rPr>
              <w:t>声明不存在限制</w:t>
            </w:r>
            <w:r>
              <w:rPr>
                <w:rFonts w:hint="eastAsia"/>
                <w:szCs w:val="21"/>
              </w:rPr>
              <w:t>参选的</w:t>
            </w:r>
            <w:r>
              <w:rPr>
                <w:szCs w:val="21"/>
              </w:rPr>
              <w:t>情形但被发现存在限制</w:t>
            </w:r>
            <w:r>
              <w:rPr>
                <w:rFonts w:hint="eastAsia"/>
                <w:szCs w:val="21"/>
              </w:rPr>
              <w:t>参选</w:t>
            </w:r>
            <w:r>
              <w:rPr>
                <w:szCs w:val="21"/>
              </w:rPr>
              <w:t>情形的，属于隐瞒情形。</w:t>
            </w:r>
          </w:p>
          <w:p w14:paraId="4B006098">
            <w:pPr>
              <w:pStyle w:val="15"/>
              <w:spacing w:line="360" w:lineRule="auto"/>
              <w:rPr>
                <w:rFonts w:hint="eastAsia" w:hAnsi="宋体"/>
              </w:rPr>
            </w:pPr>
            <w:r>
              <w:rPr>
                <w:rFonts w:hint="eastAsia" w:ascii="Times New Roman" w:hAnsi="Times New Roman"/>
              </w:rPr>
              <w:t>3、</w:t>
            </w:r>
            <w:r>
              <w:rPr>
                <w:rFonts w:ascii="Times New Roman" w:hAnsi="Times New Roman"/>
              </w:rPr>
              <w:t>如</w:t>
            </w:r>
            <w:r>
              <w:rPr>
                <w:rFonts w:hint="eastAsia" w:ascii="Times New Roman" w:hAnsi="Times New Roman"/>
              </w:rPr>
              <w:t>比选申请文件</w:t>
            </w:r>
            <w:r>
              <w:rPr>
                <w:rFonts w:ascii="Times New Roman" w:hAnsi="Times New Roman"/>
              </w:rPr>
              <w:t>存在弄虚作假或隐瞒，在评审阶段发现的，评标委员会应将该</w:t>
            </w:r>
            <w:r>
              <w:rPr>
                <w:rFonts w:hint="eastAsia" w:ascii="Times New Roman" w:hAnsi="Times New Roman"/>
              </w:rPr>
              <w:t>比选申请文件</w:t>
            </w:r>
            <w:r>
              <w:rPr>
                <w:rFonts w:ascii="Times New Roman" w:hAnsi="Times New Roman"/>
              </w:rPr>
              <w:t>作否决投标处理；</w:t>
            </w:r>
            <w:r>
              <w:rPr>
                <w:rFonts w:hint="eastAsia" w:ascii="Times New Roman" w:hAnsi="Times New Roman"/>
              </w:rPr>
              <w:t>中选</w:t>
            </w:r>
            <w:r>
              <w:rPr>
                <w:rFonts w:ascii="Times New Roman" w:hAnsi="Times New Roman"/>
              </w:rPr>
              <w:t>候选人确定后发现的，</w:t>
            </w:r>
            <w:r>
              <w:rPr>
                <w:rFonts w:hint="eastAsia" w:ascii="Times New Roman" w:hAnsi="Times New Roman"/>
              </w:rPr>
              <w:t>比选人</w:t>
            </w:r>
            <w:r>
              <w:rPr>
                <w:rFonts w:ascii="Times New Roman" w:hAnsi="Times New Roman"/>
              </w:rPr>
              <w:t>可以取消</w:t>
            </w:r>
            <w:r>
              <w:rPr>
                <w:rFonts w:hint="eastAsia" w:ascii="Times New Roman" w:hAnsi="Times New Roman"/>
              </w:rPr>
              <w:t>中选</w:t>
            </w:r>
            <w:r>
              <w:rPr>
                <w:rFonts w:ascii="Times New Roman" w:hAnsi="Times New Roman"/>
              </w:rPr>
              <w:t>候选人或</w:t>
            </w:r>
            <w:r>
              <w:rPr>
                <w:rFonts w:hint="eastAsia" w:ascii="Times New Roman" w:hAnsi="Times New Roman"/>
              </w:rPr>
              <w:t>中选</w:t>
            </w:r>
            <w:r>
              <w:rPr>
                <w:rFonts w:ascii="Times New Roman" w:hAnsi="Times New Roman"/>
              </w:rPr>
              <w:t>人资格。</w:t>
            </w:r>
          </w:p>
        </w:tc>
      </w:tr>
      <w:tr w14:paraId="6FCC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0BC9E5D9">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44</w:t>
            </w:r>
          </w:p>
        </w:tc>
        <w:tc>
          <w:tcPr>
            <w:tcW w:w="2153" w:type="dxa"/>
            <w:vAlign w:val="center"/>
          </w:tcPr>
          <w:p w14:paraId="5B836DA7">
            <w:pPr>
              <w:spacing w:line="360" w:lineRule="auto"/>
              <w:jc w:val="center"/>
              <w:rPr>
                <w:szCs w:val="21"/>
              </w:rPr>
            </w:pPr>
            <w:r>
              <w:rPr>
                <w:rFonts w:hint="eastAsia"/>
                <w:szCs w:val="21"/>
              </w:rPr>
              <w:t>比选文件</w:t>
            </w:r>
            <w:r>
              <w:rPr>
                <w:szCs w:val="21"/>
              </w:rPr>
              <w:t>内容冲突的解决及优先适用次序</w:t>
            </w:r>
          </w:p>
        </w:tc>
        <w:tc>
          <w:tcPr>
            <w:tcW w:w="6212" w:type="dxa"/>
            <w:vAlign w:val="center"/>
          </w:tcPr>
          <w:p w14:paraId="5C1285DE">
            <w:pPr>
              <w:numPr>
                <w:ilvl w:val="0"/>
                <w:numId w:val="7"/>
              </w:numPr>
              <w:spacing w:line="360" w:lineRule="auto"/>
              <w:rPr>
                <w:szCs w:val="21"/>
              </w:rPr>
            </w:pPr>
            <w:r>
              <w:rPr>
                <w:rFonts w:hint="eastAsia"/>
                <w:szCs w:val="21"/>
              </w:rPr>
              <w:t>比选文件</w:t>
            </w:r>
            <w:r>
              <w:rPr>
                <w:szCs w:val="21"/>
              </w:rPr>
              <w:t>中</w:t>
            </w:r>
            <w:r>
              <w:rPr>
                <w:rFonts w:hint="eastAsia"/>
                <w:szCs w:val="21"/>
              </w:rPr>
              <w:t>比选人</w:t>
            </w:r>
            <w:r>
              <w:rPr>
                <w:szCs w:val="21"/>
              </w:rPr>
              <w:t>编制的内容前后有矛盾或不一致，有时间先后顺序的，以时间在后的修改、澄清或补正文件为准；没有时间先后顺序的，以公平的原则进行处理。</w:t>
            </w:r>
          </w:p>
          <w:p w14:paraId="4DA68C8F">
            <w:pPr>
              <w:numPr>
                <w:ilvl w:val="0"/>
                <w:numId w:val="7"/>
              </w:numPr>
              <w:spacing w:line="360" w:lineRule="auto"/>
              <w:rPr>
                <w:szCs w:val="21"/>
              </w:rPr>
            </w:pPr>
            <w:r>
              <w:rPr>
                <w:rFonts w:hint="eastAsia"/>
                <w:szCs w:val="21"/>
              </w:rPr>
              <w:t>比选申请人</w:t>
            </w:r>
            <w:r>
              <w:rPr>
                <w:szCs w:val="21"/>
              </w:rPr>
              <w:t>须知前附表和</w:t>
            </w:r>
            <w:r>
              <w:rPr>
                <w:rFonts w:hint="eastAsia"/>
                <w:szCs w:val="21"/>
              </w:rPr>
              <w:t>比选文件</w:t>
            </w:r>
            <w:r>
              <w:rPr>
                <w:szCs w:val="21"/>
              </w:rPr>
              <w:t>中“注”的内容与正文不一致时，以</w:t>
            </w:r>
            <w:r>
              <w:rPr>
                <w:rFonts w:hint="eastAsia"/>
                <w:szCs w:val="21"/>
              </w:rPr>
              <w:t>比选申请人</w:t>
            </w:r>
            <w:r>
              <w:rPr>
                <w:szCs w:val="21"/>
              </w:rPr>
              <w:t>须知前附表和</w:t>
            </w:r>
            <w:r>
              <w:rPr>
                <w:rFonts w:hint="eastAsia"/>
                <w:szCs w:val="21"/>
              </w:rPr>
              <w:t>比选文件</w:t>
            </w:r>
            <w:r>
              <w:rPr>
                <w:szCs w:val="21"/>
              </w:rPr>
              <w:t>中“注”的内容为准。</w:t>
            </w:r>
          </w:p>
          <w:p w14:paraId="096B2DE8">
            <w:pPr>
              <w:spacing w:line="360" w:lineRule="auto"/>
              <w:rPr>
                <w:szCs w:val="21"/>
              </w:rPr>
            </w:pPr>
            <w:r>
              <w:rPr>
                <w:szCs w:val="21"/>
              </w:rPr>
              <w:t>3、对</w:t>
            </w:r>
            <w:r>
              <w:rPr>
                <w:rFonts w:hint="eastAsia"/>
                <w:szCs w:val="21"/>
              </w:rPr>
              <w:t>比选文件</w:t>
            </w:r>
            <w:r>
              <w:rPr>
                <w:szCs w:val="21"/>
              </w:rPr>
              <w:t>的内容理解有争议的，由</w:t>
            </w:r>
            <w:r>
              <w:rPr>
                <w:rFonts w:hint="eastAsia"/>
                <w:szCs w:val="21"/>
              </w:rPr>
              <w:t>比选人</w:t>
            </w:r>
            <w:r>
              <w:rPr>
                <w:szCs w:val="21"/>
              </w:rPr>
              <w:t>按照</w:t>
            </w:r>
            <w:r>
              <w:rPr>
                <w:rFonts w:hint="eastAsia"/>
                <w:szCs w:val="21"/>
              </w:rPr>
              <w:t>比选文件</w:t>
            </w:r>
            <w:r>
              <w:rPr>
                <w:szCs w:val="21"/>
              </w:rPr>
              <w:t>所使用的词句、</w:t>
            </w:r>
            <w:r>
              <w:rPr>
                <w:rFonts w:hint="eastAsia"/>
                <w:szCs w:val="21"/>
              </w:rPr>
              <w:t>比选文件</w:t>
            </w:r>
            <w:r>
              <w:rPr>
                <w:szCs w:val="21"/>
              </w:rPr>
              <w:t>的有关条款、招标的目的、习惯以及诚实信用原则，确定该条款的真实意思，有两种以上解释的，作出不利于</w:t>
            </w:r>
            <w:r>
              <w:rPr>
                <w:rFonts w:hint="eastAsia"/>
                <w:szCs w:val="21"/>
              </w:rPr>
              <w:t>比选申请人</w:t>
            </w:r>
            <w:r>
              <w:rPr>
                <w:szCs w:val="21"/>
              </w:rPr>
              <w:t>一方的解释。</w:t>
            </w:r>
          </w:p>
        </w:tc>
      </w:tr>
      <w:tr w14:paraId="1C46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21379FB8">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45</w:t>
            </w:r>
          </w:p>
        </w:tc>
        <w:tc>
          <w:tcPr>
            <w:tcW w:w="2153" w:type="dxa"/>
            <w:vAlign w:val="center"/>
          </w:tcPr>
          <w:p w14:paraId="6DF709EB">
            <w:pPr>
              <w:pStyle w:val="15"/>
              <w:spacing w:line="340" w:lineRule="exact"/>
              <w:jc w:val="center"/>
              <w:rPr>
                <w:rFonts w:ascii="Times New Roman" w:hAnsi="Times New Roman"/>
              </w:rPr>
            </w:pPr>
            <w:r>
              <w:rPr>
                <w:rFonts w:hint="eastAsia" w:ascii="Times New Roman" w:hAnsi="Times New Roman"/>
              </w:rPr>
              <w:t>知识产权</w:t>
            </w:r>
          </w:p>
        </w:tc>
        <w:tc>
          <w:tcPr>
            <w:tcW w:w="6212" w:type="dxa"/>
            <w:vAlign w:val="center"/>
          </w:tcPr>
          <w:p w14:paraId="39445F6D">
            <w:pPr>
              <w:pStyle w:val="15"/>
              <w:spacing w:line="360" w:lineRule="auto"/>
              <w:rPr>
                <w:rFonts w:hint="eastAsia" w:hAnsi="宋体"/>
              </w:rPr>
            </w:pPr>
            <w:r>
              <w:rPr>
                <w:rFonts w:hint="eastAsia" w:hAnsi="宋体"/>
              </w:rPr>
              <w:t>构成本比选文件各组成部分的文件，未经比选人书面同意，比选申请人不得擅自复印和用于非本比选项目所需的其他目的。</w:t>
            </w:r>
          </w:p>
          <w:p w14:paraId="0F0DB789">
            <w:pPr>
              <w:pStyle w:val="15"/>
              <w:spacing w:line="360" w:lineRule="auto"/>
              <w:rPr>
                <w:rFonts w:hint="eastAsia" w:hAnsi="宋体"/>
              </w:rPr>
            </w:pPr>
            <w:r>
              <w:rPr>
                <w:rFonts w:hint="eastAsia" w:hAnsi="宋体"/>
              </w:rPr>
              <w:t>比选人全部或者部分使用未中标的比选申请文件中的技术成果或技术方案时，无需征得其书面同意。</w:t>
            </w:r>
          </w:p>
        </w:tc>
      </w:tr>
      <w:tr w14:paraId="4F5E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960" w:type="dxa"/>
            <w:vAlign w:val="center"/>
          </w:tcPr>
          <w:p w14:paraId="60967760">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46</w:t>
            </w:r>
          </w:p>
        </w:tc>
        <w:tc>
          <w:tcPr>
            <w:tcW w:w="2153" w:type="dxa"/>
            <w:vAlign w:val="center"/>
          </w:tcPr>
          <w:p w14:paraId="076E8594">
            <w:pPr>
              <w:pStyle w:val="15"/>
              <w:spacing w:line="340" w:lineRule="exact"/>
              <w:jc w:val="center"/>
              <w:rPr>
                <w:rFonts w:ascii="Times New Roman" w:hAnsi="Times New Roman"/>
              </w:rPr>
            </w:pPr>
            <w:r>
              <w:rPr>
                <w:rFonts w:hint="eastAsia" w:ascii="Times New Roman" w:hAnsi="Times New Roman"/>
              </w:rPr>
              <w:t>保密</w:t>
            </w:r>
          </w:p>
        </w:tc>
        <w:tc>
          <w:tcPr>
            <w:tcW w:w="6212" w:type="dxa"/>
            <w:vAlign w:val="center"/>
          </w:tcPr>
          <w:p w14:paraId="3607413A">
            <w:pPr>
              <w:pStyle w:val="15"/>
              <w:spacing w:line="360" w:lineRule="auto"/>
              <w:rPr>
                <w:rFonts w:hint="eastAsia" w:hAnsi="宋体"/>
              </w:rPr>
            </w:pPr>
            <w:r>
              <w:rPr>
                <w:rFonts w:hint="eastAsia" w:hAnsi="宋体"/>
              </w:rPr>
              <w:t>未经比选人书面同意，参与比选活动的比选申请人不得向任何第三方透露、泄露本项目的情况、资料、技术，否则，比选人将依法追究比选申请人的责任。</w:t>
            </w:r>
          </w:p>
        </w:tc>
      </w:tr>
      <w:tr w14:paraId="75C5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60" w:type="dxa"/>
            <w:vMerge w:val="restart"/>
            <w:vAlign w:val="center"/>
          </w:tcPr>
          <w:p w14:paraId="6AD77FAF">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47</w:t>
            </w:r>
          </w:p>
        </w:tc>
        <w:tc>
          <w:tcPr>
            <w:tcW w:w="2153" w:type="dxa"/>
            <w:vMerge w:val="restart"/>
            <w:vAlign w:val="center"/>
          </w:tcPr>
          <w:p w14:paraId="684A4F5D">
            <w:pPr>
              <w:spacing w:line="360" w:lineRule="exact"/>
              <w:jc w:val="center"/>
              <w:rPr>
                <w:bCs/>
                <w:szCs w:val="21"/>
              </w:rPr>
            </w:pPr>
            <w:r>
              <w:rPr>
                <w:bCs/>
                <w:szCs w:val="21"/>
              </w:rPr>
              <w:t>特别注意</w:t>
            </w:r>
          </w:p>
          <w:p w14:paraId="05D3871E">
            <w:pPr>
              <w:pStyle w:val="15"/>
              <w:spacing w:line="340" w:lineRule="exact"/>
              <w:jc w:val="center"/>
              <w:rPr>
                <w:rFonts w:ascii="Times New Roman" w:hAnsi="Times New Roman"/>
              </w:rPr>
            </w:pPr>
          </w:p>
        </w:tc>
        <w:tc>
          <w:tcPr>
            <w:tcW w:w="6212" w:type="dxa"/>
            <w:vAlign w:val="center"/>
          </w:tcPr>
          <w:p w14:paraId="1EF345B2">
            <w:pPr>
              <w:spacing w:line="360" w:lineRule="exact"/>
              <w:rPr>
                <w:bCs/>
                <w:szCs w:val="21"/>
              </w:rPr>
            </w:pPr>
            <w:r>
              <w:rPr>
                <w:bCs/>
                <w:szCs w:val="21"/>
              </w:rPr>
              <w:t>如本</w:t>
            </w:r>
            <w:r>
              <w:rPr>
                <w:rFonts w:hint="eastAsia"/>
                <w:bCs/>
                <w:szCs w:val="21"/>
              </w:rPr>
              <w:t>比选</w:t>
            </w:r>
            <w:r>
              <w:rPr>
                <w:bCs/>
                <w:szCs w:val="21"/>
              </w:rPr>
              <w:t>文件</w:t>
            </w:r>
            <w:r>
              <w:rPr>
                <w:rFonts w:hint="eastAsia"/>
                <w:bCs/>
                <w:szCs w:val="21"/>
              </w:rPr>
              <w:t>比选申请</w:t>
            </w:r>
            <w:r>
              <w:rPr>
                <w:bCs/>
                <w:szCs w:val="21"/>
              </w:rPr>
              <w:t>人须知前附表所述内容与</w:t>
            </w:r>
            <w:r>
              <w:rPr>
                <w:rFonts w:hint="eastAsia"/>
                <w:bCs/>
                <w:szCs w:val="21"/>
              </w:rPr>
              <w:t>比选</w:t>
            </w:r>
            <w:r>
              <w:rPr>
                <w:bCs/>
                <w:szCs w:val="21"/>
              </w:rPr>
              <w:t>文件</w:t>
            </w:r>
            <w:r>
              <w:rPr>
                <w:rFonts w:hint="eastAsia"/>
                <w:bCs/>
                <w:szCs w:val="21"/>
              </w:rPr>
              <w:t>比选申请</w:t>
            </w:r>
            <w:r>
              <w:rPr>
                <w:bCs/>
                <w:szCs w:val="21"/>
              </w:rPr>
              <w:t>人须知正文部分中表述不明时，以</w:t>
            </w:r>
            <w:r>
              <w:rPr>
                <w:rFonts w:hint="eastAsia"/>
                <w:bCs/>
                <w:szCs w:val="21"/>
              </w:rPr>
              <w:t>比选申请</w:t>
            </w:r>
            <w:r>
              <w:rPr>
                <w:bCs/>
                <w:szCs w:val="21"/>
              </w:rPr>
              <w:t>人须知前附表的所述内容为准。</w:t>
            </w:r>
          </w:p>
        </w:tc>
      </w:tr>
      <w:tr w14:paraId="2135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60" w:type="dxa"/>
            <w:vMerge w:val="continue"/>
            <w:vAlign w:val="center"/>
          </w:tcPr>
          <w:p w14:paraId="3247871D">
            <w:pPr>
              <w:pStyle w:val="15"/>
              <w:spacing w:line="360" w:lineRule="auto"/>
            </w:pPr>
          </w:p>
        </w:tc>
        <w:tc>
          <w:tcPr>
            <w:tcW w:w="2153" w:type="dxa"/>
            <w:vMerge w:val="continue"/>
            <w:vAlign w:val="center"/>
          </w:tcPr>
          <w:p w14:paraId="7D1734FB">
            <w:pPr>
              <w:pStyle w:val="15"/>
              <w:spacing w:line="360" w:lineRule="auto"/>
              <w:rPr>
                <w:rFonts w:ascii="Times New Roman" w:hAnsi="Times New Roman"/>
              </w:rPr>
            </w:pPr>
          </w:p>
        </w:tc>
        <w:tc>
          <w:tcPr>
            <w:tcW w:w="6212" w:type="dxa"/>
            <w:vAlign w:val="center"/>
          </w:tcPr>
          <w:p w14:paraId="7E586C07">
            <w:pPr>
              <w:spacing w:line="360" w:lineRule="exact"/>
              <w:rPr>
                <w:bCs/>
                <w:szCs w:val="21"/>
              </w:rPr>
            </w:pPr>
            <w:r>
              <w:rPr>
                <w:rFonts w:hint="eastAsia"/>
                <w:bCs/>
                <w:szCs w:val="21"/>
              </w:rPr>
              <w:t>比选</w:t>
            </w:r>
            <w:r>
              <w:rPr>
                <w:bCs/>
                <w:szCs w:val="21"/>
              </w:rPr>
              <w:t>文件中 “★”号条款为</w:t>
            </w:r>
            <w:r>
              <w:rPr>
                <w:rFonts w:hint="eastAsia"/>
                <w:bCs/>
                <w:szCs w:val="21"/>
              </w:rPr>
              <w:t>比选</w:t>
            </w:r>
            <w:r>
              <w:rPr>
                <w:bCs/>
                <w:szCs w:val="21"/>
              </w:rPr>
              <w:t>文件规定的实质性要求。未实质性响应</w:t>
            </w:r>
            <w:r>
              <w:rPr>
                <w:rFonts w:hint="eastAsia"/>
                <w:bCs/>
                <w:szCs w:val="21"/>
              </w:rPr>
              <w:t>比选</w:t>
            </w:r>
            <w:r>
              <w:rPr>
                <w:bCs/>
                <w:szCs w:val="21"/>
              </w:rPr>
              <w:t>文件中 “★”号条款，视为重大偏差（报价详细评审的重大偏差另行约定），</w:t>
            </w:r>
            <w:r>
              <w:rPr>
                <w:rFonts w:hint="eastAsia"/>
                <w:bCs/>
                <w:szCs w:val="21"/>
              </w:rPr>
              <w:t>比选申请</w:t>
            </w:r>
            <w:r>
              <w:rPr>
                <w:bCs/>
                <w:szCs w:val="21"/>
              </w:rPr>
              <w:t>文件无效。</w:t>
            </w:r>
          </w:p>
        </w:tc>
      </w:tr>
      <w:tr w14:paraId="7E5F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14571796">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48</w:t>
            </w:r>
          </w:p>
        </w:tc>
        <w:tc>
          <w:tcPr>
            <w:tcW w:w="2153" w:type="dxa"/>
            <w:vAlign w:val="center"/>
          </w:tcPr>
          <w:p w14:paraId="6C308465">
            <w:pPr>
              <w:pStyle w:val="15"/>
              <w:spacing w:line="340" w:lineRule="exact"/>
              <w:jc w:val="center"/>
              <w:rPr>
                <w:rFonts w:ascii="Times New Roman" w:hAnsi="Times New Roman" w:cs="Courier New"/>
              </w:rPr>
            </w:pPr>
            <w:r>
              <w:rPr>
                <w:rFonts w:hint="eastAsia" w:ascii="Times New Roman" w:hAnsi="Times New Roman"/>
              </w:rPr>
              <w:t>监督部门</w:t>
            </w:r>
          </w:p>
        </w:tc>
        <w:tc>
          <w:tcPr>
            <w:tcW w:w="6212" w:type="dxa"/>
            <w:vAlign w:val="center"/>
          </w:tcPr>
          <w:p w14:paraId="1C540BA8">
            <w:pPr>
              <w:spacing w:line="360" w:lineRule="exact"/>
              <w:rPr>
                <w:rFonts w:hint="default" w:hAnsi="Times New Roman"/>
                <w:bCs/>
                <w:szCs w:val="21"/>
              </w:rPr>
            </w:pPr>
            <w:r>
              <w:rPr>
                <w:rFonts w:hint="default" w:hAnsi="Times New Roman"/>
                <w:bCs/>
                <w:szCs w:val="21"/>
              </w:rPr>
              <w:t>四川蜀道新能源科技发展有限公司招标工作领导小组</w:t>
            </w:r>
          </w:p>
          <w:p w14:paraId="5F4FF456">
            <w:pPr>
              <w:spacing w:line="360" w:lineRule="exact"/>
              <w:rPr>
                <w:rFonts w:hint="default" w:hAnsi="Times New Roman"/>
                <w:bCs/>
                <w:szCs w:val="21"/>
              </w:rPr>
            </w:pPr>
            <w:r>
              <w:rPr>
                <w:rFonts w:hint="default" w:hAnsi="Times New Roman"/>
                <w:bCs/>
                <w:szCs w:val="21"/>
              </w:rPr>
              <w:t>地    址：成都市创业路1号剑恒发展中心14楼</w:t>
            </w:r>
          </w:p>
          <w:p w14:paraId="195D6BF3">
            <w:pPr>
              <w:spacing w:line="360" w:lineRule="exact"/>
              <w:rPr>
                <w:rFonts w:hint="default" w:hAnsi="Times New Roman"/>
                <w:bCs/>
                <w:szCs w:val="21"/>
              </w:rPr>
            </w:pPr>
            <w:r>
              <w:rPr>
                <w:rFonts w:hint="default" w:hAnsi="Times New Roman"/>
                <w:bCs/>
                <w:szCs w:val="21"/>
              </w:rPr>
              <w:t>电    话：028-63915679</w:t>
            </w:r>
          </w:p>
          <w:p w14:paraId="3003018D">
            <w:pPr>
              <w:spacing w:line="360" w:lineRule="exact"/>
              <w:rPr>
                <w:rFonts w:hint="eastAsia" w:hAnsi="宋体"/>
              </w:rPr>
            </w:pPr>
            <w:r>
              <w:rPr>
                <w:rFonts w:hint="default" w:ascii="Times New Roman" w:hAnsi="Times New Roman"/>
                <w:bCs/>
                <w:szCs w:val="21"/>
              </w:rPr>
              <w:t>比选申请</w:t>
            </w:r>
            <w:r>
              <w:rPr>
                <w:rFonts w:ascii="Times New Roman" w:hAnsi="Times New Roman"/>
                <w:bCs/>
                <w:szCs w:val="21"/>
              </w:rPr>
              <w:t>人或者其他利害关系人对评标结果有异议需要投诉的，应当在</w:t>
            </w:r>
            <w:r>
              <w:rPr>
                <w:rFonts w:hint="default" w:ascii="Times New Roman" w:hAnsi="Times New Roman"/>
                <w:bCs/>
                <w:szCs w:val="21"/>
              </w:rPr>
              <w:t>中选候选人</w:t>
            </w:r>
            <w:r>
              <w:rPr>
                <w:rFonts w:ascii="Times New Roman" w:hAnsi="Times New Roman"/>
                <w:bCs/>
                <w:szCs w:val="21"/>
              </w:rPr>
              <w:t>公示期间提出，公示时间结束后不予受理。</w:t>
            </w:r>
          </w:p>
        </w:tc>
      </w:tr>
    </w:tbl>
    <w:p w14:paraId="2760F66A">
      <w:pPr>
        <w:pStyle w:val="15"/>
        <w:snapToGrid w:val="0"/>
        <w:spacing w:line="360" w:lineRule="auto"/>
        <w:ind w:firstLine="411" w:firstLineChars="196"/>
        <w:rPr>
          <w:rFonts w:hint="eastAsia" w:hAnsi="宋体"/>
        </w:rPr>
      </w:pPr>
    </w:p>
    <w:p w14:paraId="4DDA006C">
      <w:pPr>
        <w:pStyle w:val="15"/>
        <w:snapToGrid w:val="0"/>
        <w:spacing w:line="24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一、总则</w:t>
      </w:r>
    </w:p>
    <w:p w14:paraId="3F4F06C0">
      <w:pPr>
        <w:pStyle w:val="15"/>
        <w:snapToGrid w:val="0"/>
        <w:spacing w:line="360" w:lineRule="auto"/>
        <w:ind w:firstLine="411" w:firstLineChars="196"/>
        <w:rPr>
          <w:rFonts w:hint="eastAsia" w:hAnsi="宋体"/>
        </w:rPr>
      </w:pPr>
      <w:r>
        <w:rPr>
          <w:rFonts w:hint="eastAsia" w:hAnsi="宋体"/>
        </w:rPr>
        <w:t>1 项目概况</w:t>
      </w:r>
    </w:p>
    <w:p w14:paraId="55C2D395">
      <w:pPr>
        <w:pStyle w:val="15"/>
        <w:snapToGrid w:val="0"/>
        <w:spacing w:line="360" w:lineRule="auto"/>
        <w:ind w:firstLine="411" w:firstLineChars="196"/>
        <w:rPr>
          <w:rFonts w:hint="eastAsia" w:hAnsi="宋体"/>
        </w:rPr>
      </w:pPr>
      <w:r>
        <w:rPr>
          <w:rFonts w:hint="eastAsia" w:hAnsi="宋体"/>
        </w:rPr>
        <w:t>（1）本比选文件仅适用于本次比选采购项目。</w:t>
      </w:r>
    </w:p>
    <w:p w14:paraId="2E3BE12F">
      <w:pPr>
        <w:pStyle w:val="15"/>
        <w:snapToGrid w:val="0"/>
        <w:spacing w:line="360" w:lineRule="auto"/>
        <w:ind w:firstLine="411" w:firstLineChars="196"/>
        <w:rPr>
          <w:rFonts w:hint="eastAsia" w:hAnsi="宋体"/>
        </w:rPr>
      </w:pPr>
      <w:r>
        <w:rPr>
          <w:rFonts w:hint="eastAsia" w:hAnsi="宋体"/>
        </w:rPr>
        <w:t>（2）本比选项目比选人：见比选申请人须知前附表。</w:t>
      </w:r>
    </w:p>
    <w:p w14:paraId="4A3A8AAF">
      <w:pPr>
        <w:pStyle w:val="15"/>
        <w:snapToGrid w:val="0"/>
        <w:spacing w:line="360" w:lineRule="auto"/>
        <w:ind w:firstLine="411" w:firstLineChars="196"/>
        <w:rPr>
          <w:rFonts w:hint="eastAsia" w:hAnsi="宋体"/>
        </w:rPr>
      </w:pPr>
      <w:r>
        <w:rPr>
          <w:rFonts w:hint="eastAsia" w:hAnsi="宋体"/>
        </w:rPr>
        <w:t>（3）本比选项目名称：见比选申请人须知前附表。</w:t>
      </w:r>
    </w:p>
    <w:p w14:paraId="42E747C5">
      <w:pPr>
        <w:pStyle w:val="15"/>
        <w:snapToGrid w:val="0"/>
        <w:spacing w:line="360" w:lineRule="auto"/>
        <w:ind w:firstLine="411" w:firstLineChars="196"/>
        <w:rPr>
          <w:rFonts w:hint="eastAsia" w:hAnsi="宋体"/>
        </w:rPr>
      </w:pPr>
      <w:r>
        <w:rPr>
          <w:rFonts w:hint="eastAsia" w:hAnsi="宋体"/>
        </w:rPr>
        <w:t>（4）本次比选范围：见比选申请人须知前附表。</w:t>
      </w:r>
    </w:p>
    <w:p w14:paraId="3DB9357F">
      <w:pPr>
        <w:pStyle w:val="15"/>
        <w:snapToGrid w:val="0"/>
        <w:spacing w:line="360" w:lineRule="auto"/>
        <w:ind w:firstLine="411" w:firstLineChars="196"/>
        <w:rPr>
          <w:rFonts w:hint="eastAsia" w:hAnsi="宋体"/>
        </w:rPr>
      </w:pPr>
      <w:r>
        <w:rPr>
          <w:rFonts w:hint="eastAsia" w:hAnsi="宋体"/>
        </w:rPr>
        <w:t>（5）完成期限：见比选申请人须知前附表。</w:t>
      </w:r>
    </w:p>
    <w:p w14:paraId="05461651">
      <w:pPr>
        <w:pStyle w:val="15"/>
        <w:snapToGrid w:val="0"/>
        <w:spacing w:line="360" w:lineRule="auto"/>
        <w:ind w:firstLine="411" w:firstLineChars="196"/>
        <w:rPr>
          <w:rFonts w:hint="eastAsia" w:hAnsi="宋体"/>
        </w:rPr>
      </w:pPr>
      <w:r>
        <w:rPr>
          <w:rFonts w:hint="eastAsia" w:hAnsi="宋体"/>
        </w:rPr>
        <w:t>2 比选申请人要求</w:t>
      </w:r>
    </w:p>
    <w:p w14:paraId="6CD2D859">
      <w:pPr>
        <w:pStyle w:val="15"/>
        <w:snapToGrid w:val="0"/>
        <w:spacing w:line="360" w:lineRule="auto"/>
        <w:ind w:firstLine="411" w:firstLineChars="196"/>
        <w:rPr>
          <w:rFonts w:hint="eastAsia" w:hAnsi="宋体"/>
        </w:rPr>
      </w:pPr>
      <w:r>
        <w:rPr>
          <w:rFonts w:hint="eastAsia" w:hAnsi="宋体"/>
        </w:rPr>
        <w:t>2.1 比选申请人应具备承担本标段的资质条件、能力和信誉。</w:t>
      </w:r>
    </w:p>
    <w:p w14:paraId="6FC2ADA3">
      <w:pPr>
        <w:pStyle w:val="15"/>
        <w:snapToGrid w:val="0"/>
        <w:spacing w:line="360" w:lineRule="auto"/>
        <w:ind w:firstLine="411" w:firstLineChars="196"/>
        <w:rPr>
          <w:rFonts w:hint="eastAsia" w:hAnsi="宋体"/>
        </w:rPr>
      </w:pPr>
      <w:r>
        <w:rPr>
          <w:rFonts w:hint="eastAsia" w:hAnsi="宋体"/>
        </w:rPr>
        <w:t>（1）资质要求：见比选申请人须知前附表；</w:t>
      </w:r>
    </w:p>
    <w:p w14:paraId="1A8C4838">
      <w:pPr>
        <w:pStyle w:val="15"/>
        <w:snapToGrid w:val="0"/>
        <w:spacing w:line="360" w:lineRule="auto"/>
        <w:ind w:firstLine="411" w:firstLineChars="196"/>
        <w:rPr>
          <w:rFonts w:hint="eastAsia" w:hAnsi="宋体"/>
        </w:rPr>
      </w:pPr>
      <w:r>
        <w:rPr>
          <w:rFonts w:hint="eastAsia" w:hAnsi="宋体"/>
        </w:rPr>
        <w:t>（2）信誉要求：见比选申请人须知前附表；</w:t>
      </w:r>
    </w:p>
    <w:p w14:paraId="12BB4584">
      <w:pPr>
        <w:pStyle w:val="15"/>
        <w:snapToGrid w:val="0"/>
        <w:spacing w:line="360" w:lineRule="auto"/>
        <w:ind w:firstLine="411" w:firstLineChars="196"/>
        <w:rPr>
          <w:rFonts w:hint="eastAsia" w:hAnsi="宋体"/>
        </w:rPr>
      </w:pPr>
      <w:r>
        <w:rPr>
          <w:rFonts w:hint="eastAsia" w:hAnsi="宋体"/>
        </w:rPr>
        <w:t>（3）业绩要求：见比选申请人须知前附表；</w:t>
      </w:r>
    </w:p>
    <w:p w14:paraId="3566A322">
      <w:pPr>
        <w:pStyle w:val="15"/>
        <w:snapToGrid w:val="0"/>
        <w:spacing w:line="360" w:lineRule="auto"/>
        <w:ind w:firstLine="411" w:firstLineChars="196"/>
        <w:rPr>
          <w:rFonts w:hint="eastAsia" w:hAnsi="宋体"/>
        </w:rPr>
      </w:pPr>
      <w:r>
        <w:rPr>
          <w:rFonts w:hint="eastAsia" w:hAnsi="宋体"/>
        </w:rPr>
        <w:t>（4）设备要求：见比选申请人须知前附表；</w:t>
      </w:r>
    </w:p>
    <w:p w14:paraId="3D8D2273">
      <w:pPr>
        <w:pStyle w:val="15"/>
        <w:snapToGrid w:val="0"/>
        <w:spacing w:line="360" w:lineRule="auto"/>
        <w:ind w:firstLine="411" w:firstLineChars="196"/>
        <w:rPr>
          <w:rFonts w:hint="eastAsia" w:hAnsi="宋体"/>
        </w:rPr>
      </w:pPr>
      <w:r>
        <w:rPr>
          <w:rFonts w:hint="eastAsia" w:hAnsi="宋体"/>
        </w:rPr>
        <w:t>（5）其它要求：见比选申请人须知前附表。</w:t>
      </w:r>
    </w:p>
    <w:p w14:paraId="6A6F5A1C">
      <w:pPr>
        <w:pStyle w:val="15"/>
        <w:snapToGrid w:val="0"/>
        <w:spacing w:line="360" w:lineRule="auto"/>
        <w:ind w:firstLine="411" w:firstLineChars="196"/>
        <w:rPr>
          <w:rFonts w:hint="eastAsia" w:hAnsi="宋体"/>
        </w:rPr>
      </w:pPr>
      <w:r>
        <w:rPr>
          <w:rFonts w:hint="eastAsia" w:hAnsi="宋体"/>
        </w:rPr>
        <w:t>2.2 比选申请人不得存在下列情形之一：</w:t>
      </w:r>
    </w:p>
    <w:p w14:paraId="4CE0D730">
      <w:pPr>
        <w:pStyle w:val="15"/>
        <w:snapToGrid w:val="0"/>
        <w:spacing w:line="360" w:lineRule="auto"/>
        <w:ind w:firstLine="411" w:firstLineChars="196"/>
        <w:rPr>
          <w:rFonts w:hint="eastAsia" w:hAnsi="宋体"/>
        </w:rPr>
      </w:pPr>
      <w:r>
        <w:rPr>
          <w:rFonts w:hint="eastAsia" w:hAnsi="宋体"/>
        </w:rPr>
        <w:t>（1）为比选人不具有独立法人资格的附属机构（单位）；</w:t>
      </w:r>
    </w:p>
    <w:p w14:paraId="68AC1F4E">
      <w:pPr>
        <w:pStyle w:val="15"/>
        <w:snapToGrid w:val="0"/>
        <w:spacing w:line="360" w:lineRule="auto"/>
        <w:ind w:firstLine="411" w:firstLineChars="196"/>
        <w:rPr>
          <w:rFonts w:hint="eastAsia" w:hAnsi="宋体"/>
        </w:rPr>
      </w:pPr>
      <w:r>
        <w:rPr>
          <w:rFonts w:hint="eastAsia" w:hAnsi="宋体"/>
        </w:rPr>
        <w:t>（2）被责令停业的；</w:t>
      </w:r>
    </w:p>
    <w:p w14:paraId="2E39EF7E">
      <w:pPr>
        <w:pStyle w:val="15"/>
        <w:snapToGrid w:val="0"/>
        <w:spacing w:line="360" w:lineRule="auto"/>
        <w:ind w:firstLine="411" w:firstLineChars="196"/>
        <w:rPr>
          <w:rFonts w:hint="eastAsia" w:hAnsi="宋体"/>
        </w:rPr>
      </w:pPr>
      <w:r>
        <w:rPr>
          <w:rFonts w:hint="eastAsia" w:hAnsi="宋体"/>
        </w:rPr>
        <w:t>（3）被暂停或取消投标资格的；</w:t>
      </w:r>
    </w:p>
    <w:p w14:paraId="7FA58DC9">
      <w:pPr>
        <w:pStyle w:val="15"/>
        <w:snapToGrid w:val="0"/>
        <w:spacing w:line="360" w:lineRule="auto"/>
        <w:ind w:firstLine="411" w:firstLineChars="196"/>
        <w:rPr>
          <w:rFonts w:hint="eastAsia" w:hAnsi="宋体"/>
        </w:rPr>
      </w:pPr>
      <w:r>
        <w:rPr>
          <w:rFonts w:hint="eastAsia" w:hAnsi="宋体"/>
        </w:rPr>
        <w:t>（4）财产被接管或冻结的；</w:t>
      </w:r>
    </w:p>
    <w:p w14:paraId="0D3D5022">
      <w:pPr>
        <w:pStyle w:val="15"/>
        <w:snapToGrid w:val="0"/>
        <w:spacing w:line="360" w:lineRule="auto"/>
        <w:ind w:firstLine="411" w:firstLineChars="196"/>
        <w:rPr>
          <w:rFonts w:hint="eastAsia" w:hAnsi="宋体"/>
        </w:rPr>
      </w:pPr>
      <w:r>
        <w:rPr>
          <w:rFonts w:hint="eastAsia" w:hAnsi="宋体"/>
        </w:rPr>
        <w:t>（5）在最近三年内有骗取中标或严重违约。</w:t>
      </w:r>
    </w:p>
    <w:p w14:paraId="0437E26D">
      <w:pPr>
        <w:pStyle w:val="15"/>
        <w:snapToGrid w:val="0"/>
        <w:spacing w:line="360" w:lineRule="auto"/>
        <w:ind w:firstLine="411" w:firstLineChars="196"/>
        <w:rPr>
          <w:rFonts w:hint="eastAsia" w:hAnsi="宋体"/>
        </w:rPr>
      </w:pPr>
      <w:r>
        <w:rPr>
          <w:rFonts w:hint="eastAsia" w:hAnsi="宋体"/>
        </w:rPr>
        <w:t>3 费用承担</w:t>
      </w:r>
    </w:p>
    <w:p w14:paraId="6EF61A4E">
      <w:pPr>
        <w:pStyle w:val="15"/>
        <w:snapToGrid w:val="0"/>
        <w:spacing w:line="360" w:lineRule="auto"/>
        <w:ind w:firstLine="411" w:firstLineChars="196"/>
        <w:rPr>
          <w:rFonts w:hint="eastAsia" w:hAnsi="宋体"/>
        </w:rPr>
      </w:pPr>
      <w:r>
        <w:rPr>
          <w:rFonts w:hint="eastAsia" w:hAnsi="宋体"/>
        </w:rPr>
        <w:t>比选申请人准备和参加比选发生的费用自理。</w:t>
      </w:r>
    </w:p>
    <w:p w14:paraId="725C10B4">
      <w:pPr>
        <w:pStyle w:val="15"/>
        <w:snapToGrid w:val="0"/>
        <w:spacing w:line="360" w:lineRule="auto"/>
        <w:ind w:firstLine="411" w:firstLineChars="196"/>
        <w:rPr>
          <w:rFonts w:hint="eastAsia" w:hAnsi="宋体"/>
        </w:rPr>
      </w:pPr>
      <w:r>
        <w:rPr>
          <w:rFonts w:hint="eastAsia" w:hAnsi="宋体"/>
        </w:rPr>
        <w:t>4 保密</w:t>
      </w:r>
    </w:p>
    <w:p w14:paraId="50F9B8A9">
      <w:pPr>
        <w:pStyle w:val="15"/>
        <w:snapToGrid w:val="0"/>
        <w:spacing w:line="360" w:lineRule="auto"/>
        <w:ind w:firstLine="411" w:firstLineChars="196"/>
        <w:rPr>
          <w:rFonts w:hint="eastAsia" w:hAnsi="宋体"/>
        </w:rPr>
      </w:pPr>
      <w:r>
        <w:rPr>
          <w:rFonts w:hint="eastAsia" w:hAnsi="宋体"/>
        </w:rPr>
        <w:t>参与比选的各方应对比选文件和比选申请文件中的商业和技术等秘密保密，违规者应对由此造成的后果承担法律责任。</w:t>
      </w:r>
    </w:p>
    <w:p w14:paraId="172DFB32">
      <w:pPr>
        <w:pStyle w:val="15"/>
        <w:snapToGrid w:val="0"/>
        <w:spacing w:line="240" w:lineRule="auto"/>
        <w:ind w:firstLine="482" w:firstLineChars="200"/>
        <w:outlineLvl w:val="1"/>
        <w:rPr>
          <w:rFonts w:hint="eastAsia" w:ascii="黑体" w:hAnsi="宋体" w:eastAsia="黑体" w:cs="黑体"/>
          <w:b/>
          <w:bCs/>
          <w:kern w:val="0"/>
          <w:sz w:val="24"/>
          <w:szCs w:val="24"/>
        </w:rPr>
      </w:pPr>
      <w:bookmarkStart w:id="15" w:name="_Toc184635072"/>
      <w:r>
        <w:rPr>
          <w:rFonts w:hint="eastAsia" w:ascii="黑体" w:hAnsi="宋体" w:eastAsia="黑体" w:cs="黑体"/>
          <w:b/>
          <w:bCs/>
          <w:kern w:val="0"/>
          <w:sz w:val="24"/>
          <w:szCs w:val="24"/>
        </w:rPr>
        <w:t>二、比选文件</w:t>
      </w:r>
      <w:bookmarkEnd w:id="15"/>
    </w:p>
    <w:p w14:paraId="5A0A71CC">
      <w:pPr>
        <w:pStyle w:val="15"/>
        <w:snapToGrid w:val="0"/>
        <w:spacing w:line="360" w:lineRule="auto"/>
        <w:ind w:firstLine="411" w:firstLineChars="196"/>
        <w:rPr>
          <w:rFonts w:hint="eastAsia" w:hAnsi="宋体"/>
        </w:rPr>
      </w:pPr>
      <w:r>
        <w:rPr>
          <w:rFonts w:hint="eastAsia" w:hAnsi="宋体"/>
        </w:rPr>
        <w:t>1 比选文件的组成</w:t>
      </w:r>
    </w:p>
    <w:p w14:paraId="5DBC87A2">
      <w:pPr>
        <w:pStyle w:val="15"/>
        <w:snapToGrid w:val="0"/>
        <w:spacing w:line="360" w:lineRule="auto"/>
        <w:ind w:firstLine="411" w:firstLineChars="196"/>
        <w:rPr>
          <w:rFonts w:hint="eastAsia" w:hAnsi="宋体"/>
        </w:rPr>
      </w:pPr>
      <w:r>
        <w:rPr>
          <w:rFonts w:hint="eastAsia" w:hAnsi="宋体"/>
        </w:rPr>
        <w:t>本比选文件包括：</w:t>
      </w:r>
    </w:p>
    <w:p w14:paraId="24AC3A9A">
      <w:pPr>
        <w:numPr>
          <w:ilvl w:val="255"/>
          <w:numId w:val="0"/>
        </w:numPr>
        <w:spacing w:line="348" w:lineRule="auto"/>
        <w:ind w:firstLine="420" w:firstLineChars="200"/>
        <w:rPr>
          <w:rFonts w:hint="eastAsia" w:ascii="宋体" w:hAnsi="宋体"/>
          <w:szCs w:val="21"/>
        </w:rPr>
      </w:pPr>
      <w:r>
        <w:rPr>
          <w:rFonts w:hint="eastAsia" w:ascii="宋体" w:hAnsi="宋体"/>
          <w:szCs w:val="21"/>
        </w:rPr>
        <w:t>（1）比选公告</w:t>
      </w:r>
    </w:p>
    <w:p w14:paraId="7E50FD3C">
      <w:pPr>
        <w:spacing w:line="348" w:lineRule="auto"/>
        <w:ind w:firstLine="420" w:firstLineChars="200"/>
        <w:rPr>
          <w:rFonts w:hint="eastAsia" w:ascii="宋体" w:hAnsi="宋体"/>
          <w:szCs w:val="21"/>
        </w:rPr>
      </w:pPr>
      <w:r>
        <w:rPr>
          <w:rFonts w:hint="eastAsia" w:ascii="宋体" w:hAnsi="宋体"/>
          <w:szCs w:val="21"/>
        </w:rPr>
        <w:t>（2）比选申请人须知</w:t>
      </w:r>
    </w:p>
    <w:p w14:paraId="040FD818">
      <w:pPr>
        <w:spacing w:line="348" w:lineRule="auto"/>
        <w:ind w:firstLine="420" w:firstLineChars="200"/>
        <w:rPr>
          <w:rFonts w:hint="eastAsia" w:ascii="宋体" w:hAnsi="宋体"/>
          <w:szCs w:val="21"/>
        </w:rPr>
      </w:pPr>
      <w:r>
        <w:rPr>
          <w:rFonts w:hint="eastAsia" w:ascii="宋体" w:hAnsi="宋体"/>
          <w:szCs w:val="21"/>
        </w:rPr>
        <w:t>（3）评标办法</w:t>
      </w:r>
    </w:p>
    <w:p w14:paraId="6EE1B668">
      <w:pPr>
        <w:spacing w:line="348" w:lineRule="auto"/>
        <w:ind w:firstLine="420" w:firstLineChars="200"/>
      </w:pPr>
      <w:r>
        <w:rPr>
          <w:rFonts w:hint="eastAsia" w:ascii="宋体" w:hAnsi="宋体"/>
          <w:bCs/>
          <w:kern w:val="44"/>
          <w:szCs w:val="44"/>
        </w:rPr>
        <w:t>（4）设备标准和要求</w:t>
      </w:r>
    </w:p>
    <w:p w14:paraId="641F9BA1">
      <w:pPr>
        <w:spacing w:line="360" w:lineRule="auto"/>
        <w:ind w:firstLine="420" w:firstLineChars="200"/>
        <w:rPr>
          <w:rFonts w:hint="eastAsia" w:ascii="宋体" w:hAnsi="宋体"/>
          <w:szCs w:val="21"/>
        </w:rPr>
      </w:pPr>
      <w:r>
        <w:rPr>
          <w:rFonts w:hint="eastAsia" w:ascii="宋体" w:hAnsi="宋体"/>
          <w:szCs w:val="21"/>
        </w:rPr>
        <w:t>（5）合同条款及格式</w:t>
      </w:r>
    </w:p>
    <w:p w14:paraId="2BA26667">
      <w:pPr>
        <w:spacing w:line="348" w:lineRule="auto"/>
        <w:ind w:firstLine="420" w:firstLineChars="200"/>
        <w:rPr>
          <w:rFonts w:hint="eastAsia" w:ascii="宋体" w:hAnsi="宋体"/>
          <w:szCs w:val="21"/>
        </w:rPr>
      </w:pPr>
      <w:r>
        <w:rPr>
          <w:rFonts w:hint="eastAsia" w:ascii="宋体" w:hAnsi="宋体"/>
          <w:szCs w:val="21"/>
        </w:rPr>
        <w:t>（6）费用清单</w:t>
      </w:r>
    </w:p>
    <w:p w14:paraId="103F3B03">
      <w:pPr>
        <w:pStyle w:val="15"/>
        <w:snapToGrid w:val="0"/>
        <w:spacing w:line="360" w:lineRule="auto"/>
        <w:ind w:firstLine="411" w:firstLineChars="196"/>
        <w:rPr>
          <w:rFonts w:hint="eastAsia" w:hAnsi="宋体"/>
        </w:rPr>
      </w:pPr>
      <w:r>
        <w:rPr>
          <w:rFonts w:hint="eastAsia" w:hAnsi="宋体"/>
        </w:rPr>
        <w:t>（7）比选申请文件格式</w:t>
      </w:r>
    </w:p>
    <w:p w14:paraId="64C7A167">
      <w:pPr>
        <w:pStyle w:val="15"/>
        <w:snapToGrid w:val="0"/>
        <w:spacing w:line="360" w:lineRule="auto"/>
        <w:ind w:firstLine="411" w:firstLineChars="196"/>
        <w:rPr>
          <w:rFonts w:hint="eastAsia" w:hAnsi="宋体"/>
        </w:rPr>
      </w:pPr>
      <w:r>
        <w:rPr>
          <w:rFonts w:hint="eastAsia" w:hAnsi="宋体"/>
        </w:rPr>
        <w:t>2 比选文件的澄清和修改</w:t>
      </w:r>
    </w:p>
    <w:p w14:paraId="5987D8EA">
      <w:pPr>
        <w:spacing w:line="360" w:lineRule="auto"/>
        <w:ind w:firstLine="420" w:firstLineChars="200"/>
        <w:rPr>
          <w:color w:val="000000"/>
          <w:szCs w:val="21"/>
        </w:rPr>
      </w:pPr>
      <w:bookmarkStart w:id="16" w:name="_Toc144974513"/>
      <w:r>
        <w:rPr>
          <w:color w:val="000000"/>
          <w:szCs w:val="21"/>
        </w:rPr>
        <w:t>详见</w:t>
      </w:r>
      <w:r>
        <w:rPr>
          <w:rFonts w:hint="eastAsia"/>
          <w:color w:val="000000"/>
          <w:szCs w:val="21"/>
        </w:rPr>
        <w:t>比选申请人</w:t>
      </w:r>
      <w:r>
        <w:rPr>
          <w:color w:val="000000"/>
          <w:szCs w:val="21"/>
        </w:rPr>
        <w:t>须知前附表。</w:t>
      </w:r>
    </w:p>
    <w:bookmarkEnd w:id="16"/>
    <w:p w14:paraId="4B996372">
      <w:pPr>
        <w:pStyle w:val="15"/>
        <w:snapToGrid w:val="0"/>
        <w:spacing w:line="240" w:lineRule="auto"/>
        <w:ind w:firstLine="482" w:firstLineChars="200"/>
        <w:outlineLvl w:val="1"/>
        <w:rPr>
          <w:rFonts w:hint="eastAsia" w:ascii="黑体" w:hAnsi="宋体" w:eastAsia="黑体" w:cs="黑体"/>
          <w:b/>
          <w:bCs/>
          <w:kern w:val="0"/>
          <w:sz w:val="24"/>
          <w:szCs w:val="24"/>
        </w:rPr>
      </w:pPr>
      <w:bookmarkStart w:id="17" w:name="_Toc184635073"/>
      <w:r>
        <w:rPr>
          <w:rFonts w:hint="eastAsia" w:ascii="黑体" w:hAnsi="宋体" w:eastAsia="黑体" w:cs="黑体"/>
          <w:b/>
          <w:bCs/>
          <w:kern w:val="0"/>
          <w:sz w:val="24"/>
          <w:szCs w:val="24"/>
        </w:rPr>
        <w:t>三、比选申请文件</w:t>
      </w:r>
      <w:bookmarkEnd w:id="17"/>
    </w:p>
    <w:p w14:paraId="5688EF78">
      <w:pPr>
        <w:pStyle w:val="15"/>
        <w:snapToGrid w:val="0"/>
        <w:spacing w:line="360" w:lineRule="auto"/>
        <w:ind w:firstLine="411" w:firstLineChars="196"/>
        <w:rPr>
          <w:rFonts w:hint="eastAsia" w:hAnsi="宋体"/>
        </w:rPr>
      </w:pPr>
      <w:r>
        <w:rPr>
          <w:rFonts w:hint="eastAsia" w:hAnsi="宋体"/>
        </w:rPr>
        <w:t>1 比选申请文件的组成</w:t>
      </w:r>
    </w:p>
    <w:p w14:paraId="5E57AD60">
      <w:pPr>
        <w:spacing w:line="348" w:lineRule="auto"/>
        <w:ind w:firstLine="420" w:firstLineChars="200"/>
      </w:pPr>
      <w:r>
        <w:rPr>
          <w:rFonts w:hint="eastAsia"/>
        </w:rPr>
        <w:t>（1）比选申请函及附录</w:t>
      </w:r>
    </w:p>
    <w:p w14:paraId="64A33375">
      <w:pPr>
        <w:spacing w:line="348" w:lineRule="auto"/>
        <w:ind w:firstLine="420" w:firstLineChars="200"/>
      </w:pPr>
      <w:r>
        <w:rPr>
          <w:rFonts w:hint="eastAsia"/>
        </w:rPr>
        <w:t>（2）法定代表人身份证明及授权委托书</w:t>
      </w:r>
    </w:p>
    <w:p w14:paraId="63FA0BCF">
      <w:pPr>
        <w:spacing w:line="348" w:lineRule="auto"/>
        <w:ind w:firstLine="420" w:firstLineChars="200"/>
      </w:pPr>
      <w:r>
        <w:rPr>
          <w:rFonts w:hint="eastAsia"/>
        </w:rPr>
        <w:t>（3）技术方案</w:t>
      </w:r>
    </w:p>
    <w:p w14:paraId="0AA3EB27">
      <w:pPr>
        <w:spacing w:line="348" w:lineRule="auto"/>
        <w:ind w:firstLine="420" w:firstLineChars="200"/>
      </w:pPr>
      <w:r>
        <w:rPr>
          <w:rFonts w:hint="eastAsia"/>
        </w:rPr>
        <w:t>（4）资格审查资料</w:t>
      </w:r>
    </w:p>
    <w:p w14:paraId="4D8100AC">
      <w:pPr>
        <w:spacing w:line="348" w:lineRule="auto"/>
        <w:ind w:firstLine="420" w:firstLineChars="200"/>
      </w:pPr>
      <w:r>
        <w:rPr>
          <w:rFonts w:hint="eastAsia"/>
        </w:rPr>
        <w:t>（5）其他资料</w:t>
      </w:r>
    </w:p>
    <w:p w14:paraId="6903A797">
      <w:pPr>
        <w:spacing w:line="348" w:lineRule="auto"/>
        <w:ind w:firstLine="420" w:firstLineChars="200"/>
        <w:rPr>
          <w:rFonts w:hint="eastAsia"/>
        </w:rPr>
      </w:pPr>
      <w:r>
        <w:rPr>
          <w:rFonts w:hint="eastAsia"/>
        </w:rPr>
        <w:t>（6）费用报价单</w:t>
      </w:r>
    </w:p>
    <w:p w14:paraId="28CE0F55">
      <w:pPr>
        <w:spacing w:line="348" w:lineRule="auto"/>
        <w:ind w:firstLine="420" w:firstLineChars="200"/>
        <w:rPr>
          <w:rFonts w:hint="eastAsia" w:eastAsia="宋体"/>
          <w:lang w:eastAsia="zh-CN"/>
        </w:rPr>
      </w:pPr>
      <w:r>
        <w:rPr>
          <w:rFonts w:hint="eastAsia"/>
          <w:lang w:eastAsia="zh-CN"/>
        </w:rPr>
        <w:t>（</w:t>
      </w:r>
      <w:r>
        <w:rPr>
          <w:rFonts w:hint="eastAsia"/>
          <w:lang w:val="en-US" w:eastAsia="zh-CN"/>
        </w:rPr>
        <w:t>7</w:t>
      </w:r>
      <w:r>
        <w:rPr>
          <w:rFonts w:hint="eastAsia"/>
          <w:lang w:eastAsia="zh-CN"/>
        </w:rPr>
        <w:t>）</w:t>
      </w:r>
      <w:r>
        <w:rPr>
          <w:rFonts w:hint="eastAsia" w:ascii="Times New Roman" w:hAnsi="Times New Roman" w:eastAsia="宋体" w:cs="Times New Roman"/>
          <w:sz w:val="21"/>
          <w:szCs w:val="24"/>
        </w:rPr>
        <w:t>设备</w:t>
      </w:r>
      <w:r>
        <w:rPr>
          <w:rFonts w:hint="eastAsia" w:ascii="Times New Roman" w:hAnsi="Times New Roman" w:eastAsia="宋体" w:cs="Times New Roman"/>
          <w:sz w:val="21"/>
          <w:szCs w:val="24"/>
          <w:lang w:val="en-US" w:eastAsia="zh-CN"/>
        </w:rPr>
        <w:t>主要参数和要求</w:t>
      </w:r>
      <w:r>
        <w:rPr>
          <w:rFonts w:hint="eastAsia" w:ascii="Times New Roman" w:hAnsi="Times New Roman" w:eastAsia="宋体" w:cs="Times New Roman"/>
          <w:sz w:val="21"/>
          <w:szCs w:val="24"/>
        </w:rPr>
        <w:t>响应表</w:t>
      </w:r>
    </w:p>
    <w:p w14:paraId="4C413547">
      <w:pPr>
        <w:pStyle w:val="15"/>
        <w:snapToGrid w:val="0"/>
        <w:spacing w:line="360" w:lineRule="auto"/>
        <w:ind w:firstLine="411" w:firstLineChars="196"/>
        <w:rPr>
          <w:rFonts w:hint="eastAsia" w:hAnsi="宋体"/>
        </w:rPr>
      </w:pPr>
      <w:r>
        <w:rPr>
          <w:rFonts w:hint="eastAsia" w:hAnsi="宋体"/>
        </w:rPr>
        <w:t>比选申请文件应真实、可靠，不得有隐瞒、欺诈行为，否则将取消比选申请资格，如中标，将取消中选人资格，且保留追究其责任的权利。</w:t>
      </w:r>
    </w:p>
    <w:p w14:paraId="7CA5D46F">
      <w:pPr>
        <w:pStyle w:val="15"/>
        <w:snapToGrid w:val="0"/>
        <w:spacing w:line="360" w:lineRule="auto"/>
        <w:ind w:firstLine="411" w:firstLineChars="196"/>
        <w:rPr>
          <w:rFonts w:hint="eastAsia" w:hAnsi="宋体"/>
        </w:rPr>
      </w:pPr>
      <w:r>
        <w:rPr>
          <w:rFonts w:hint="eastAsia" w:hAnsi="宋体"/>
        </w:rPr>
        <w:t>比选申请人应使用本比选文件提供的格式编制</w:t>
      </w:r>
      <w:r>
        <w:rPr>
          <w:rFonts w:hint="eastAsia" w:hAnsi="宋体"/>
          <w:lang w:val="zh-CN"/>
        </w:rPr>
        <w:t>比选申请</w:t>
      </w:r>
      <w:r>
        <w:rPr>
          <w:rFonts w:hint="eastAsia" w:hAnsi="宋体"/>
        </w:rPr>
        <w:t>文件，可按同样格式扩展使用。</w:t>
      </w:r>
    </w:p>
    <w:p w14:paraId="00D398E5">
      <w:pPr>
        <w:pStyle w:val="15"/>
        <w:snapToGrid w:val="0"/>
        <w:spacing w:line="360" w:lineRule="auto"/>
        <w:ind w:firstLine="411" w:firstLineChars="196"/>
        <w:rPr>
          <w:rFonts w:hint="eastAsia" w:hAnsi="宋体"/>
        </w:rPr>
      </w:pPr>
      <w:r>
        <w:rPr>
          <w:rFonts w:hint="eastAsia" w:hAnsi="宋体"/>
        </w:rPr>
        <w:t>2 比选申请有效期</w:t>
      </w:r>
    </w:p>
    <w:p w14:paraId="509D3254">
      <w:pPr>
        <w:pStyle w:val="15"/>
        <w:snapToGrid w:val="0"/>
        <w:spacing w:line="360" w:lineRule="auto"/>
        <w:ind w:firstLine="411" w:firstLineChars="196"/>
        <w:rPr>
          <w:rFonts w:hint="eastAsia" w:hAnsi="宋体"/>
        </w:rPr>
      </w:pPr>
      <w:r>
        <w:rPr>
          <w:rFonts w:hint="eastAsia" w:hAnsi="宋体"/>
        </w:rPr>
        <w:t>（1）在比选申请人须知前附表规定的比选申请有效期内，比选申请人不得要求撤销或修改其比选申请文件。</w:t>
      </w:r>
    </w:p>
    <w:p w14:paraId="39A08FA4">
      <w:pPr>
        <w:pStyle w:val="15"/>
        <w:snapToGrid w:val="0"/>
        <w:spacing w:line="360" w:lineRule="auto"/>
        <w:ind w:firstLine="411" w:firstLineChars="196"/>
        <w:rPr>
          <w:rFonts w:hint="eastAsia" w:hAnsi="宋体"/>
        </w:rPr>
      </w:pPr>
      <w:r>
        <w:rPr>
          <w:rFonts w:hint="eastAsia" w:hAnsi="宋体"/>
        </w:rPr>
        <w:t>（2）出现特殊情况需要延长比选申请有效期的，比选人以书面形式通知所有比选申请人延长比选申请有效期。</w:t>
      </w:r>
    </w:p>
    <w:p w14:paraId="5FB364B0">
      <w:pPr>
        <w:pStyle w:val="15"/>
        <w:snapToGrid w:val="0"/>
        <w:spacing w:line="360" w:lineRule="auto"/>
        <w:ind w:firstLine="411" w:firstLineChars="196"/>
        <w:rPr>
          <w:rFonts w:hint="eastAsia" w:hAnsi="宋体"/>
        </w:rPr>
      </w:pPr>
      <w:r>
        <w:rPr>
          <w:rFonts w:hint="eastAsia" w:hAnsi="宋体"/>
        </w:rPr>
        <w:t>3 资格审查资料</w:t>
      </w:r>
    </w:p>
    <w:p w14:paraId="002A932D">
      <w:pPr>
        <w:pStyle w:val="15"/>
        <w:snapToGrid w:val="0"/>
        <w:spacing w:line="360" w:lineRule="auto"/>
        <w:ind w:firstLine="411" w:firstLineChars="196"/>
        <w:rPr>
          <w:rFonts w:hint="eastAsia" w:hAnsi="宋体"/>
        </w:rPr>
      </w:pPr>
      <w:r>
        <w:rPr>
          <w:rFonts w:hint="eastAsia" w:hAnsi="宋体"/>
        </w:rPr>
        <w:t>（1）“比选申请人基本情况表”应附比选申请人营业执照副本的证明等材料的复印件。</w:t>
      </w:r>
    </w:p>
    <w:p w14:paraId="7C5CD3A6">
      <w:pPr>
        <w:pStyle w:val="15"/>
        <w:snapToGrid w:val="0"/>
        <w:spacing w:line="360" w:lineRule="auto"/>
        <w:ind w:firstLine="411" w:firstLineChars="196"/>
        <w:rPr>
          <w:rFonts w:hint="eastAsia" w:hAnsi="宋体"/>
        </w:rPr>
      </w:pPr>
      <w:r>
        <w:rPr>
          <w:rFonts w:hint="eastAsia" w:hAnsi="宋体"/>
        </w:rPr>
        <w:t>（2）“信誉、真实性”等条件需由比选申请人按比选文件要求附相应证明材料或作出相应的承诺。</w:t>
      </w:r>
    </w:p>
    <w:p w14:paraId="10309141">
      <w:pPr>
        <w:pStyle w:val="15"/>
        <w:snapToGrid w:val="0"/>
        <w:spacing w:line="360" w:lineRule="auto"/>
        <w:ind w:firstLine="411" w:firstLineChars="196"/>
        <w:rPr>
          <w:rFonts w:hint="eastAsia" w:hAnsi="宋体"/>
        </w:rPr>
      </w:pPr>
      <w:r>
        <w:rPr>
          <w:rFonts w:hint="eastAsia" w:hAnsi="宋体"/>
        </w:rPr>
        <w:t>4 比选申请文件的编制</w:t>
      </w:r>
    </w:p>
    <w:p w14:paraId="3241158C">
      <w:pPr>
        <w:pStyle w:val="15"/>
        <w:snapToGrid w:val="0"/>
        <w:spacing w:line="360" w:lineRule="auto"/>
        <w:ind w:firstLine="411" w:firstLineChars="196"/>
        <w:rPr>
          <w:rFonts w:hint="eastAsia" w:hAnsi="宋体"/>
        </w:rPr>
      </w:pPr>
      <w:r>
        <w:rPr>
          <w:rFonts w:hint="eastAsia" w:hAnsi="宋体"/>
        </w:rPr>
        <w:t>（1）比选申请文件应按第七章“比选申请文件格式”进行编写，如有必要，可以增加附页，作为比选申请文件的组成部分。其中，比选申请函附录在满足比选文件实质性要求的基础上，可以提出比比选文件要求更有利于比选人的承诺。</w:t>
      </w:r>
    </w:p>
    <w:p w14:paraId="05E478C6">
      <w:pPr>
        <w:pStyle w:val="15"/>
        <w:snapToGrid w:val="0"/>
        <w:spacing w:line="360" w:lineRule="auto"/>
        <w:ind w:firstLine="411" w:firstLineChars="196"/>
        <w:rPr>
          <w:rFonts w:hint="eastAsia" w:hAnsi="宋体"/>
        </w:rPr>
      </w:pPr>
      <w:r>
        <w:rPr>
          <w:rFonts w:hint="eastAsia" w:hAnsi="宋体"/>
        </w:rPr>
        <w:t>（2）比选申请文件应当对比选文件有关比选范围、比选申请有效期、设备要求、完成期限等实质性内容作出响应。</w:t>
      </w:r>
    </w:p>
    <w:p w14:paraId="28FA0066">
      <w:pPr>
        <w:pStyle w:val="15"/>
        <w:snapToGrid w:val="0"/>
        <w:spacing w:line="360" w:lineRule="auto"/>
        <w:ind w:firstLine="411" w:firstLineChars="196"/>
        <w:rPr>
          <w:rFonts w:hint="eastAsia" w:hAnsi="宋体"/>
        </w:rPr>
      </w:pPr>
      <w:r>
        <w:rPr>
          <w:rFonts w:hint="eastAsia" w:hAnsi="宋体"/>
        </w:rPr>
        <w:t>（3）比选申请文件应用不褪色的材料书写或打印，并由比选申请人的法定代表人或其委托代理人签字或盖单位章。委托代理人签字的，比选申请文件应附法定代表人签署的授权委托书。比选申请文件应尽量避免涂改、行间插字或删除。如果出现上述情况，改动之处应加盖单位章或由比选申请人的法定代表人或其授权的代理人签字确认。签字或盖章的具体要求见比选申请人须知前附表。</w:t>
      </w:r>
    </w:p>
    <w:p w14:paraId="19EE12F0">
      <w:pPr>
        <w:pStyle w:val="15"/>
        <w:snapToGrid w:val="0"/>
        <w:spacing w:line="240" w:lineRule="auto"/>
        <w:ind w:firstLine="482" w:firstLineChars="200"/>
        <w:outlineLvl w:val="1"/>
        <w:rPr>
          <w:rFonts w:hint="eastAsia" w:ascii="黑体" w:hAnsi="宋体" w:eastAsia="黑体" w:cs="黑体"/>
          <w:b/>
          <w:bCs/>
          <w:kern w:val="0"/>
          <w:sz w:val="24"/>
          <w:szCs w:val="24"/>
        </w:rPr>
      </w:pPr>
      <w:bookmarkStart w:id="18" w:name="_Toc184635074"/>
      <w:r>
        <w:rPr>
          <w:rFonts w:hint="eastAsia" w:ascii="黑体" w:hAnsi="宋体" w:eastAsia="黑体" w:cs="黑体"/>
          <w:b/>
          <w:bCs/>
          <w:kern w:val="0"/>
          <w:sz w:val="24"/>
          <w:szCs w:val="24"/>
        </w:rPr>
        <w:t>四、</w:t>
      </w:r>
      <w:bookmarkEnd w:id="18"/>
      <w:r>
        <w:rPr>
          <w:rFonts w:hint="eastAsia" w:ascii="黑体" w:hAnsi="宋体" w:eastAsia="黑体" w:cs="黑体"/>
          <w:b/>
          <w:bCs/>
          <w:kern w:val="0"/>
          <w:sz w:val="24"/>
          <w:szCs w:val="24"/>
        </w:rPr>
        <w:t>比选申请文件的递交</w:t>
      </w:r>
    </w:p>
    <w:p w14:paraId="5D593868">
      <w:pPr>
        <w:pStyle w:val="15"/>
        <w:snapToGrid w:val="0"/>
        <w:spacing w:line="360" w:lineRule="auto"/>
        <w:ind w:firstLine="411" w:firstLineChars="196"/>
        <w:rPr>
          <w:rFonts w:hint="eastAsia" w:hAnsi="宋体"/>
        </w:rPr>
      </w:pPr>
      <w:r>
        <w:rPr>
          <w:rFonts w:hint="eastAsia" w:hAnsi="宋体"/>
        </w:rPr>
        <w:t>1 比选申请文件的递交</w:t>
      </w:r>
    </w:p>
    <w:p w14:paraId="42D5E8F7">
      <w:pPr>
        <w:pStyle w:val="15"/>
        <w:snapToGrid w:val="0"/>
        <w:spacing w:line="360" w:lineRule="auto"/>
        <w:ind w:firstLine="411" w:firstLineChars="196"/>
        <w:rPr>
          <w:rFonts w:hint="eastAsia" w:hAnsi="宋体"/>
        </w:rPr>
      </w:pPr>
      <w:r>
        <w:rPr>
          <w:rFonts w:hint="eastAsia" w:hAnsi="宋体"/>
        </w:rPr>
        <w:t>（1）比选申请人应在比选申请人须知前附表中规定的比选申请文件递交截止时间前递交比选申请文件。</w:t>
      </w:r>
    </w:p>
    <w:p w14:paraId="235716E3">
      <w:pPr>
        <w:pStyle w:val="15"/>
        <w:snapToGrid w:val="0"/>
        <w:spacing w:line="360" w:lineRule="auto"/>
        <w:ind w:firstLine="411" w:firstLineChars="196"/>
        <w:rPr>
          <w:rFonts w:hint="eastAsia" w:hAnsi="宋体"/>
        </w:rPr>
      </w:pPr>
      <w:r>
        <w:rPr>
          <w:rFonts w:hint="eastAsia" w:hAnsi="宋体"/>
        </w:rPr>
        <w:t>（2）比选申请人递交比选申请文件的地点：见比选申请人须知前附表。</w:t>
      </w:r>
    </w:p>
    <w:p w14:paraId="5F15BD0F">
      <w:pPr>
        <w:pStyle w:val="15"/>
        <w:snapToGrid w:val="0"/>
        <w:spacing w:line="360" w:lineRule="auto"/>
        <w:ind w:firstLine="411" w:firstLineChars="196"/>
        <w:rPr>
          <w:rFonts w:hint="eastAsia" w:hAnsi="宋体"/>
        </w:rPr>
      </w:pPr>
      <w:r>
        <w:rPr>
          <w:rFonts w:hint="eastAsia" w:hAnsi="宋体"/>
        </w:rPr>
        <w:t>（3）除比选申请人须知前附表另有规定外，比选申请人所递交的比选申请文件不予退还。</w:t>
      </w:r>
    </w:p>
    <w:p w14:paraId="6002C3EF">
      <w:pPr>
        <w:pStyle w:val="15"/>
        <w:snapToGrid w:val="0"/>
        <w:spacing w:line="360" w:lineRule="auto"/>
        <w:ind w:firstLine="411" w:firstLineChars="196"/>
        <w:rPr>
          <w:rFonts w:hint="eastAsia" w:hAnsi="宋体"/>
        </w:rPr>
      </w:pPr>
      <w:r>
        <w:rPr>
          <w:rFonts w:hint="eastAsia" w:hAnsi="宋体"/>
        </w:rPr>
        <w:t>（4）逾期送达的或者未送达指定地点的比选申请文件，比选人不予受理。</w:t>
      </w:r>
    </w:p>
    <w:p w14:paraId="65239FB5">
      <w:pPr>
        <w:pStyle w:val="15"/>
        <w:snapToGrid w:val="0"/>
        <w:spacing w:line="360" w:lineRule="auto"/>
        <w:ind w:firstLine="411" w:firstLineChars="196"/>
        <w:rPr>
          <w:rFonts w:hint="eastAsia" w:hAnsi="宋体"/>
        </w:rPr>
      </w:pPr>
      <w:r>
        <w:rPr>
          <w:rFonts w:hint="eastAsia" w:hAnsi="宋体"/>
        </w:rPr>
        <w:t>2 比选申请文件的修改与撤回</w:t>
      </w:r>
    </w:p>
    <w:p w14:paraId="22B2D492">
      <w:pPr>
        <w:pStyle w:val="15"/>
        <w:snapToGrid w:val="0"/>
        <w:spacing w:line="360" w:lineRule="auto"/>
        <w:ind w:firstLine="411" w:firstLineChars="196"/>
        <w:rPr>
          <w:rFonts w:hint="eastAsia" w:hAnsi="宋体"/>
        </w:rPr>
      </w:pPr>
      <w:r>
        <w:rPr>
          <w:rFonts w:hint="eastAsia" w:hAnsi="宋体"/>
        </w:rPr>
        <w:t>（1）在比选申请人须知前附表规定的比选申请截止时间前，比选申请人可以修改或撤回已递交的比选申请文件，但应以书面形式通知比选人。</w:t>
      </w:r>
    </w:p>
    <w:p w14:paraId="4191BB82">
      <w:pPr>
        <w:pStyle w:val="15"/>
        <w:snapToGrid w:val="0"/>
        <w:spacing w:line="360" w:lineRule="auto"/>
        <w:ind w:firstLine="411" w:firstLineChars="196"/>
        <w:rPr>
          <w:rFonts w:hint="eastAsia" w:hAnsi="宋体"/>
        </w:rPr>
      </w:pPr>
      <w:r>
        <w:rPr>
          <w:rFonts w:hint="eastAsia" w:hAnsi="宋体"/>
        </w:rPr>
        <w:t>（2）比选申请人修改或撤回已递交比选申请文件的书面通知应按照第二章比选申请人须知前附表的要求签字或盖章。比选人收到书面通知后，向比选申请人出具签收凭证。</w:t>
      </w:r>
    </w:p>
    <w:p w14:paraId="0ED3353C">
      <w:pPr>
        <w:pStyle w:val="15"/>
        <w:snapToGrid w:val="0"/>
        <w:spacing w:line="360" w:lineRule="auto"/>
        <w:ind w:firstLine="411" w:firstLineChars="196"/>
        <w:rPr>
          <w:rFonts w:hint="eastAsia" w:hAnsi="宋体"/>
        </w:rPr>
      </w:pPr>
      <w:r>
        <w:rPr>
          <w:rFonts w:hint="eastAsia" w:hAnsi="宋体"/>
        </w:rPr>
        <w:t>（3）修改的内容为比选申请文件的组成部分。修改的比选申请文件应按照本章第三、第四项规定进行编制、密封、标记和递交，并标明“修改”字样。</w:t>
      </w:r>
    </w:p>
    <w:p w14:paraId="57ADEB74">
      <w:pPr>
        <w:pStyle w:val="15"/>
        <w:snapToGrid w:val="0"/>
        <w:spacing w:line="240" w:lineRule="auto"/>
        <w:ind w:firstLine="482" w:firstLineChars="200"/>
        <w:outlineLvl w:val="1"/>
        <w:rPr>
          <w:rFonts w:hint="eastAsia" w:ascii="黑体" w:hAnsi="宋体" w:eastAsia="黑体" w:cs="黑体"/>
          <w:b/>
          <w:bCs/>
          <w:kern w:val="0"/>
          <w:sz w:val="24"/>
          <w:szCs w:val="24"/>
        </w:rPr>
      </w:pPr>
      <w:bookmarkStart w:id="19" w:name="_Toc184635075"/>
      <w:r>
        <w:rPr>
          <w:rFonts w:hint="eastAsia" w:ascii="黑体" w:hAnsi="宋体" w:eastAsia="黑体" w:cs="黑体"/>
          <w:b/>
          <w:bCs/>
          <w:kern w:val="0"/>
          <w:sz w:val="24"/>
          <w:szCs w:val="24"/>
        </w:rPr>
        <w:t>五、开标</w:t>
      </w:r>
      <w:bookmarkEnd w:id="19"/>
    </w:p>
    <w:p w14:paraId="462EA4DF">
      <w:pPr>
        <w:pStyle w:val="15"/>
        <w:snapToGrid w:val="0"/>
        <w:spacing w:line="360" w:lineRule="auto"/>
        <w:ind w:firstLine="411" w:firstLineChars="196"/>
        <w:rPr>
          <w:rFonts w:hint="eastAsia" w:hAnsi="宋体"/>
        </w:rPr>
      </w:pPr>
      <w:r>
        <w:rPr>
          <w:rFonts w:hint="eastAsia" w:hAnsi="宋体"/>
        </w:rPr>
        <w:t>1 开标时间和地点</w:t>
      </w:r>
    </w:p>
    <w:p w14:paraId="0677CFCA">
      <w:pPr>
        <w:pStyle w:val="15"/>
        <w:snapToGrid w:val="0"/>
        <w:spacing w:line="360" w:lineRule="auto"/>
        <w:ind w:firstLine="411" w:firstLineChars="196"/>
        <w:rPr>
          <w:rFonts w:hint="eastAsia" w:hAnsi="宋体"/>
        </w:rPr>
      </w:pPr>
      <w:r>
        <w:rPr>
          <w:rFonts w:hint="eastAsia" w:hAnsi="宋体"/>
        </w:rPr>
        <w:t>比选人在比选申请人须知前附表规定的比选申请文件递交截止时间（开标时间）和开标地点开标，并邀请所有比选申请人的法定代表人或其委托代理人准时参加。</w:t>
      </w:r>
    </w:p>
    <w:p w14:paraId="3D6B2484">
      <w:pPr>
        <w:pStyle w:val="15"/>
        <w:snapToGrid w:val="0"/>
        <w:spacing w:line="360" w:lineRule="auto"/>
        <w:ind w:firstLine="411" w:firstLineChars="196"/>
        <w:rPr>
          <w:rFonts w:hint="eastAsia" w:hAnsi="宋体"/>
        </w:rPr>
      </w:pPr>
      <w:r>
        <w:rPr>
          <w:rFonts w:hint="eastAsia" w:hAnsi="宋体"/>
        </w:rPr>
        <w:t>2开标程序</w:t>
      </w:r>
    </w:p>
    <w:p w14:paraId="5264B544">
      <w:pPr>
        <w:pStyle w:val="15"/>
        <w:snapToGrid w:val="0"/>
        <w:spacing w:line="360" w:lineRule="auto"/>
        <w:ind w:firstLine="411" w:firstLineChars="196"/>
        <w:rPr>
          <w:rFonts w:hint="eastAsia" w:hAnsi="宋体"/>
        </w:rPr>
      </w:pPr>
      <w:r>
        <w:rPr>
          <w:rFonts w:hint="eastAsia" w:hAnsi="宋体"/>
        </w:rPr>
        <w:t>主持人按下列程序进行开标：</w:t>
      </w:r>
    </w:p>
    <w:p w14:paraId="7C8ADF52">
      <w:pPr>
        <w:pStyle w:val="15"/>
        <w:snapToGrid w:val="0"/>
        <w:spacing w:line="360" w:lineRule="auto"/>
        <w:ind w:firstLine="411" w:firstLineChars="196"/>
        <w:rPr>
          <w:rFonts w:hint="eastAsia" w:hAnsi="宋体"/>
        </w:rPr>
      </w:pPr>
      <w:r>
        <w:rPr>
          <w:rFonts w:hint="eastAsia" w:hAnsi="宋体"/>
        </w:rPr>
        <w:t>（1）宣布开标纪律；</w:t>
      </w:r>
    </w:p>
    <w:p w14:paraId="76A64306">
      <w:pPr>
        <w:pStyle w:val="15"/>
        <w:snapToGrid w:val="0"/>
        <w:spacing w:line="360" w:lineRule="auto"/>
        <w:ind w:firstLine="411" w:firstLineChars="196"/>
        <w:rPr>
          <w:rFonts w:hint="eastAsia" w:hAnsi="宋体"/>
        </w:rPr>
      </w:pPr>
      <w:r>
        <w:rPr>
          <w:rFonts w:hint="eastAsia" w:hAnsi="宋体"/>
        </w:rPr>
        <w:t>（2）公布在比选申请文件递交截止时间前递交比选申请文件的比选申请人名称，并点名确认比选申请人是否派人到场；</w:t>
      </w:r>
    </w:p>
    <w:p w14:paraId="63662F4B">
      <w:pPr>
        <w:pStyle w:val="15"/>
        <w:snapToGrid w:val="0"/>
        <w:spacing w:line="360" w:lineRule="auto"/>
        <w:ind w:firstLine="411" w:firstLineChars="196"/>
        <w:rPr>
          <w:rFonts w:hint="eastAsia" w:hAnsi="宋体"/>
        </w:rPr>
      </w:pPr>
      <w:r>
        <w:rPr>
          <w:rFonts w:hint="eastAsia" w:hAnsi="宋体"/>
        </w:rPr>
        <w:t>（3）宣布开标人、唱标人、监督人、记录人等有关人员姓名；</w:t>
      </w:r>
    </w:p>
    <w:p w14:paraId="623142A9">
      <w:pPr>
        <w:pStyle w:val="15"/>
        <w:snapToGrid w:val="0"/>
        <w:spacing w:line="360" w:lineRule="auto"/>
        <w:ind w:firstLine="411" w:firstLineChars="196"/>
        <w:rPr>
          <w:rFonts w:hint="eastAsia" w:hAnsi="宋体"/>
        </w:rPr>
      </w:pPr>
      <w:r>
        <w:rPr>
          <w:rFonts w:hint="eastAsia" w:hAnsi="宋体"/>
        </w:rPr>
        <w:t>（4）按照比选申请人须知前附表的规定确定并宣布比选申请文件开标顺序；</w:t>
      </w:r>
    </w:p>
    <w:p w14:paraId="16D7353F">
      <w:pPr>
        <w:pStyle w:val="15"/>
        <w:snapToGrid w:val="0"/>
        <w:spacing w:line="360" w:lineRule="auto"/>
        <w:ind w:firstLine="411" w:firstLineChars="196"/>
        <w:rPr>
          <w:rFonts w:hint="eastAsia" w:hAnsi="宋体"/>
        </w:rPr>
      </w:pPr>
      <w:r>
        <w:rPr>
          <w:rFonts w:hint="eastAsia" w:hAnsi="宋体"/>
        </w:rPr>
        <w:t>（5）按照宣布的开标顺序当众开标，公布比选申请人名称、比选申请报价及其他内容，并记录在案；</w:t>
      </w:r>
    </w:p>
    <w:p w14:paraId="59228249">
      <w:pPr>
        <w:pStyle w:val="15"/>
        <w:snapToGrid w:val="0"/>
        <w:spacing w:line="360" w:lineRule="auto"/>
        <w:ind w:firstLine="411" w:firstLineChars="196"/>
        <w:rPr>
          <w:rFonts w:hint="eastAsia" w:hAnsi="宋体"/>
        </w:rPr>
      </w:pPr>
      <w:r>
        <w:rPr>
          <w:rFonts w:hint="eastAsia" w:hAnsi="宋体"/>
        </w:rPr>
        <w:t>（6）开标结束。</w:t>
      </w:r>
    </w:p>
    <w:p w14:paraId="1BED008A">
      <w:pPr>
        <w:pStyle w:val="15"/>
        <w:snapToGrid w:val="0"/>
        <w:spacing w:line="240" w:lineRule="auto"/>
        <w:ind w:firstLine="482" w:firstLineChars="200"/>
        <w:outlineLvl w:val="1"/>
        <w:rPr>
          <w:rFonts w:hint="eastAsia" w:ascii="黑体" w:hAnsi="宋体" w:eastAsia="黑体" w:cs="黑体"/>
          <w:b/>
          <w:bCs/>
          <w:kern w:val="0"/>
          <w:sz w:val="24"/>
          <w:szCs w:val="24"/>
        </w:rPr>
      </w:pPr>
      <w:bookmarkStart w:id="20" w:name="_Toc184635076"/>
      <w:r>
        <w:rPr>
          <w:rFonts w:hint="eastAsia" w:ascii="黑体" w:hAnsi="宋体" w:eastAsia="黑体" w:cs="黑体"/>
          <w:b/>
          <w:bCs/>
          <w:kern w:val="0"/>
          <w:sz w:val="24"/>
          <w:szCs w:val="24"/>
        </w:rPr>
        <w:t>六、评标</w:t>
      </w:r>
      <w:bookmarkEnd w:id="20"/>
    </w:p>
    <w:p w14:paraId="6E3A75B0">
      <w:pPr>
        <w:pStyle w:val="15"/>
        <w:snapToGrid w:val="0"/>
        <w:spacing w:line="360" w:lineRule="auto"/>
        <w:ind w:firstLine="411" w:firstLineChars="196"/>
        <w:rPr>
          <w:rFonts w:hint="eastAsia" w:hAnsi="宋体"/>
        </w:rPr>
      </w:pPr>
      <w:r>
        <w:rPr>
          <w:rFonts w:hint="eastAsia" w:hAnsi="宋体"/>
        </w:rPr>
        <w:t>1 评标委员会</w:t>
      </w:r>
    </w:p>
    <w:p w14:paraId="53C1CCAF">
      <w:pPr>
        <w:pStyle w:val="15"/>
        <w:snapToGrid w:val="0"/>
        <w:spacing w:line="360" w:lineRule="auto"/>
        <w:ind w:firstLine="411" w:firstLineChars="196"/>
        <w:rPr>
          <w:rFonts w:hint="eastAsia" w:hAnsi="宋体"/>
        </w:rPr>
      </w:pPr>
      <w:r>
        <w:rPr>
          <w:rFonts w:hint="eastAsia" w:hAnsi="宋体"/>
        </w:rPr>
        <w:t>评标由比选人依法组建的评标委员会负责。评标委员会成员人数及确定方式见比选申请人须知前附表。</w:t>
      </w:r>
    </w:p>
    <w:p w14:paraId="4CD63735">
      <w:pPr>
        <w:pStyle w:val="15"/>
        <w:snapToGrid w:val="0"/>
        <w:spacing w:line="360" w:lineRule="auto"/>
        <w:ind w:firstLine="411" w:firstLineChars="196"/>
        <w:rPr>
          <w:rFonts w:hint="eastAsia" w:hAnsi="宋体"/>
        </w:rPr>
      </w:pPr>
      <w:r>
        <w:rPr>
          <w:rFonts w:hint="eastAsia" w:hAnsi="宋体"/>
        </w:rPr>
        <w:t>评标委员会成员有下列情形之一的，应当回避：</w:t>
      </w:r>
    </w:p>
    <w:p w14:paraId="5110B9BB">
      <w:pPr>
        <w:pStyle w:val="15"/>
        <w:snapToGrid w:val="0"/>
        <w:spacing w:line="360" w:lineRule="auto"/>
        <w:ind w:firstLine="411" w:firstLineChars="196"/>
        <w:rPr>
          <w:rFonts w:hint="eastAsia" w:hAnsi="宋体"/>
        </w:rPr>
      </w:pPr>
      <w:r>
        <w:rPr>
          <w:rFonts w:hint="eastAsia" w:hAnsi="宋体"/>
        </w:rPr>
        <w:t>（1）比选人或比选申请人的法定代表人的近亲属；</w:t>
      </w:r>
    </w:p>
    <w:p w14:paraId="09B20DBC">
      <w:pPr>
        <w:pStyle w:val="15"/>
        <w:snapToGrid w:val="0"/>
        <w:spacing w:line="360" w:lineRule="auto"/>
        <w:ind w:firstLine="411" w:firstLineChars="196"/>
        <w:rPr>
          <w:rFonts w:hint="eastAsia" w:hAnsi="宋体"/>
        </w:rPr>
      </w:pPr>
      <w:r>
        <w:rPr>
          <w:rFonts w:hint="eastAsia" w:hAnsi="宋体"/>
        </w:rPr>
        <w:t>（2）与比选申请人有经济利益关系，可能影响对投标公正评审的；</w:t>
      </w:r>
    </w:p>
    <w:p w14:paraId="0EC58DC3">
      <w:pPr>
        <w:pStyle w:val="15"/>
        <w:snapToGrid w:val="0"/>
        <w:spacing w:line="360" w:lineRule="auto"/>
        <w:ind w:firstLine="411" w:firstLineChars="196"/>
        <w:rPr>
          <w:rFonts w:hint="eastAsia" w:hAnsi="宋体"/>
        </w:rPr>
      </w:pPr>
      <w:r>
        <w:rPr>
          <w:rFonts w:hint="eastAsia" w:hAnsi="宋体"/>
        </w:rPr>
        <w:t>（3）曾因在招标、评标以及其他与招标投标有关活动中从事违法行为而受过行政处罚或刑事处罚的。</w:t>
      </w:r>
    </w:p>
    <w:p w14:paraId="4BDC289D">
      <w:pPr>
        <w:pStyle w:val="15"/>
        <w:snapToGrid w:val="0"/>
        <w:spacing w:line="360" w:lineRule="auto"/>
        <w:ind w:firstLine="411" w:firstLineChars="196"/>
        <w:rPr>
          <w:rFonts w:hint="eastAsia" w:hAnsi="宋体"/>
        </w:rPr>
      </w:pPr>
      <w:r>
        <w:rPr>
          <w:rFonts w:hint="eastAsia" w:hAnsi="宋体"/>
        </w:rPr>
        <w:t>2 评标原则</w:t>
      </w:r>
    </w:p>
    <w:p w14:paraId="580EE068">
      <w:pPr>
        <w:pStyle w:val="15"/>
        <w:snapToGrid w:val="0"/>
        <w:spacing w:line="360" w:lineRule="auto"/>
        <w:ind w:firstLine="411" w:firstLineChars="196"/>
        <w:rPr>
          <w:rFonts w:hint="eastAsia" w:hAnsi="宋体"/>
        </w:rPr>
      </w:pPr>
      <w:r>
        <w:rPr>
          <w:rFonts w:hint="eastAsia" w:hAnsi="宋体"/>
        </w:rPr>
        <w:t>评标活动遵循公平、公正、科学和择优的原则。</w:t>
      </w:r>
    </w:p>
    <w:p w14:paraId="4DC3D9A9">
      <w:pPr>
        <w:pStyle w:val="15"/>
        <w:snapToGrid w:val="0"/>
        <w:spacing w:line="360" w:lineRule="auto"/>
        <w:ind w:firstLine="411" w:firstLineChars="196"/>
        <w:rPr>
          <w:rFonts w:hint="eastAsia" w:hAnsi="宋体"/>
        </w:rPr>
      </w:pPr>
      <w:r>
        <w:rPr>
          <w:rFonts w:hint="eastAsia" w:hAnsi="宋体"/>
        </w:rPr>
        <w:t>3 评标</w:t>
      </w:r>
    </w:p>
    <w:p w14:paraId="6D82071A">
      <w:pPr>
        <w:pStyle w:val="15"/>
        <w:snapToGrid w:val="0"/>
        <w:spacing w:line="360" w:lineRule="auto"/>
        <w:ind w:firstLine="411" w:firstLineChars="196"/>
        <w:rPr>
          <w:rFonts w:hint="eastAsia" w:hAnsi="宋体"/>
        </w:rPr>
      </w:pPr>
      <w:r>
        <w:rPr>
          <w:rFonts w:hint="eastAsia" w:hAnsi="宋体"/>
        </w:rPr>
        <w:t>评标委员会按照第三章“</w:t>
      </w:r>
      <w:r>
        <w:rPr>
          <w:rFonts w:hint="eastAsia" w:hAnsi="宋体"/>
          <w:lang w:val="en-US" w:eastAsia="zh-CN"/>
        </w:rPr>
        <w:t>评标办法</w:t>
      </w:r>
      <w:r>
        <w:rPr>
          <w:rFonts w:hint="eastAsia" w:hAnsi="宋体"/>
        </w:rPr>
        <w:t>”规定的方法、评审因素、标准和程序对比选申请文件进行评审。第三章“</w:t>
      </w:r>
      <w:r>
        <w:rPr>
          <w:rFonts w:hint="eastAsia" w:hAnsi="宋体"/>
          <w:lang w:val="en-US" w:eastAsia="zh-CN"/>
        </w:rPr>
        <w:t>评标办法</w:t>
      </w:r>
      <w:r>
        <w:rPr>
          <w:rFonts w:hint="eastAsia" w:hAnsi="宋体"/>
        </w:rPr>
        <w:t>”没有规定的方法、评审因素和标准，不作为评标依据。</w:t>
      </w:r>
    </w:p>
    <w:p w14:paraId="30576110">
      <w:pPr>
        <w:pStyle w:val="15"/>
        <w:snapToGrid w:val="0"/>
        <w:spacing w:line="240" w:lineRule="auto"/>
        <w:ind w:firstLine="482" w:firstLineChars="200"/>
        <w:outlineLvl w:val="1"/>
        <w:rPr>
          <w:rFonts w:hint="eastAsia" w:ascii="黑体" w:hAnsi="宋体" w:eastAsia="黑体" w:cs="黑体"/>
          <w:b/>
          <w:bCs/>
          <w:kern w:val="0"/>
          <w:sz w:val="24"/>
          <w:szCs w:val="24"/>
        </w:rPr>
      </w:pPr>
      <w:bookmarkStart w:id="21" w:name="_Toc184635077"/>
      <w:r>
        <w:rPr>
          <w:rFonts w:hint="eastAsia" w:ascii="黑体" w:hAnsi="宋体" w:eastAsia="黑体" w:cs="黑体"/>
          <w:b/>
          <w:bCs/>
          <w:kern w:val="0"/>
          <w:sz w:val="24"/>
          <w:szCs w:val="24"/>
        </w:rPr>
        <w:t>七、合同</w:t>
      </w:r>
      <w:bookmarkEnd w:id="21"/>
      <w:r>
        <w:rPr>
          <w:rFonts w:hint="eastAsia" w:ascii="黑体" w:hAnsi="宋体" w:eastAsia="黑体" w:cs="黑体"/>
          <w:b/>
          <w:bCs/>
          <w:kern w:val="0"/>
          <w:sz w:val="24"/>
          <w:szCs w:val="24"/>
        </w:rPr>
        <w:t>签订</w:t>
      </w:r>
    </w:p>
    <w:p w14:paraId="23337CF4">
      <w:pPr>
        <w:pStyle w:val="15"/>
        <w:snapToGrid w:val="0"/>
        <w:spacing w:line="360" w:lineRule="auto"/>
        <w:ind w:firstLine="411" w:firstLineChars="196"/>
        <w:rPr>
          <w:rFonts w:hint="eastAsia" w:hAnsi="宋体"/>
        </w:rPr>
      </w:pPr>
      <w:r>
        <w:rPr>
          <w:rFonts w:hint="eastAsia" w:hAnsi="宋体"/>
        </w:rPr>
        <w:t>1 定标方式</w:t>
      </w:r>
    </w:p>
    <w:p w14:paraId="094D63D3">
      <w:pPr>
        <w:pStyle w:val="15"/>
        <w:snapToGrid w:val="0"/>
        <w:spacing w:line="360" w:lineRule="auto"/>
        <w:ind w:firstLine="411" w:firstLineChars="196"/>
        <w:rPr>
          <w:rFonts w:hint="eastAsia" w:hAnsi="宋体"/>
        </w:rPr>
      </w:pPr>
      <w:r>
        <w:rPr>
          <w:rFonts w:hint="eastAsia" w:hAnsi="宋体"/>
        </w:rPr>
        <w:t>比选人依据评标委员会推荐的中选候选人确定中选人，评标委员会推荐中选候选人的人数见比选申请人须知前附表。</w:t>
      </w:r>
    </w:p>
    <w:p w14:paraId="78FB5E8E">
      <w:pPr>
        <w:pStyle w:val="15"/>
        <w:snapToGrid w:val="0"/>
        <w:spacing w:line="360" w:lineRule="auto"/>
        <w:ind w:firstLine="411" w:firstLineChars="196"/>
        <w:rPr>
          <w:rFonts w:hint="eastAsia" w:hAnsi="宋体"/>
        </w:rPr>
      </w:pPr>
      <w:r>
        <w:rPr>
          <w:rFonts w:hint="eastAsia" w:hAnsi="宋体"/>
        </w:rPr>
        <w:t>2 中标通知</w:t>
      </w:r>
    </w:p>
    <w:p w14:paraId="5E6763AC">
      <w:pPr>
        <w:pStyle w:val="15"/>
        <w:snapToGrid w:val="0"/>
        <w:spacing w:line="360" w:lineRule="auto"/>
        <w:ind w:firstLine="411" w:firstLineChars="196"/>
        <w:rPr>
          <w:rFonts w:hint="eastAsia" w:hAnsi="宋体"/>
        </w:rPr>
      </w:pPr>
      <w:r>
        <w:rPr>
          <w:rFonts w:hint="eastAsia" w:hAnsi="宋体"/>
        </w:rPr>
        <w:t>比选申请人须知前附表规定的比选申请有效期内，比选人以书面形式向中选人发出中标通知书。</w:t>
      </w:r>
    </w:p>
    <w:p w14:paraId="3F67A184">
      <w:pPr>
        <w:pStyle w:val="15"/>
        <w:snapToGrid w:val="0"/>
        <w:spacing w:line="360" w:lineRule="auto"/>
        <w:ind w:firstLine="411" w:firstLineChars="196"/>
        <w:rPr>
          <w:rFonts w:hint="eastAsia" w:hAnsi="宋体"/>
        </w:rPr>
      </w:pPr>
      <w:r>
        <w:rPr>
          <w:rFonts w:hint="eastAsia" w:hAnsi="宋体"/>
        </w:rPr>
        <w:t>3 签订合同</w:t>
      </w:r>
    </w:p>
    <w:p w14:paraId="05AC0B3D">
      <w:pPr>
        <w:pStyle w:val="15"/>
        <w:snapToGrid w:val="0"/>
        <w:spacing w:line="360" w:lineRule="auto"/>
        <w:ind w:firstLine="411" w:firstLineChars="196"/>
        <w:rPr>
          <w:rFonts w:hint="eastAsia" w:hAnsi="宋体"/>
        </w:rPr>
      </w:pPr>
      <w:r>
        <w:rPr>
          <w:rFonts w:hint="eastAsia" w:hAnsi="宋体"/>
        </w:rPr>
        <w:t>比选人和中选人应当自中标通知书发出之日起30天内，根据比选文件和中选人的比选申请文件订立书面合同。中选人无正当理由拒签合同的，比选人取消其中标资格；给比选人造成损失的，中选人还应当对比选人予以赔偿。</w:t>
      </w:r>
    </w:p>
    <w:p w14:paraId="3437E52C">
      <w:pPr>
        <w:pStyle w:val="15"/>
        <w:snapToGrid w:val="0"/>
        <w:spacing w:line="240" w:lineRule="auto"/>
        <w:ind w:firstLine="482" w:firstLineChars="200"/>
        <w:outlineLvl w:val="1"/>
        <w:rPr>
          <w:rFonts w:hint="eastAsia" w:ascii="黑体" w:hAnsi="宋体" w:eastAsia="黑体" w:cs="黑体"/>
          <w:b/>
          <w:bCs/>
          <w:kern w:val="0"/>
          <w:sz w:val="24"/>
          <w:szCs w:val="24"/>
        </w:rPr>
      </w:pPr>
      <w:bookmarkStart w:id="22" w:name="_Toc184635078"/>
      <w:r>
        <w:rPr>
          <w:rFonts w:hint="eastAsia" w:ascii="黑体" w:hAnsi="宋体" w:eastAsia="黑体" w:cs="黑体"/>
          <w:b/>
          <w:bCs/>
          <w:kern w:val="0"/>
          <w:sz w:val="24"/>
          <w:szCs w:val="24"/>
        </w:rPr>
        <w:t>八、重新比选</w:t>
      </w:r>
      <w:bookmarkEnd w:id="22"/>
    </w:p>
    <w:p w14:paraId="5F5FA3CC">
      <w:pPr>
        <w:pStyle w:val="15"/>
        <w:snapToGrid w:val="0"/>
        <w:spacing w:line="360" w:lineRule="auto"/>
        <w:ind w:firstLine="411" w:firstLineChars="196"/>
        <w:rPr>
          <w:rFonts w:hint="eastAsia" w:hAnsi="宋体"/>
        </w:rPr>
      </w:pPr>
      <w:r>
        <w:rPr>
          <w:rFonts w:hint="eastAsia" w:hAnsi="宋体"/>
        </w:rPr>
        <w:t>1 重新比选</w:t>
      </w:r>
    </w:p>
    <w:p w14:paraId="731BA8A4">
      <w:pPr>
        <w:pStyle w:val="15"/>
        <w:snapToGrid w:val="0"/>
        <w:spacing w:line="360" w:lineRule="auto"/>
        <w:ind w:firstLine="411" w:firstLineChars="196"/>
        <w:rPr>
          <w:rFonts w:hint="eastAsia" w:hAnsi="宋体"/>
        </w:rPr>
      </w:pPr>
      <w:r>
        <w:rPr>
          <w:rFonts w:hint="eastAsia" w:hAnsi="宋体"/>
        </w:rPr>
        <w:t>有下列情形之一的，比选人将重新招标：</w:t>
      </w:r>
    </w:p>
    <w:p w14:paraId="07218C20">
      <w:pPr>
        <w:pStyle w:val="15"/>
        <w:snapToGrid w:val="0"/>
        <w:spacing w:line="360" w:lineRule="auto"/>
        <w:ind w:firstLine="411" w:firstLineChars="196"/>
        <w:rPr>
          <w:rFonts w:hint="eastAsia" w:hAnsi="宋体"/>
        </w:rPr>
      </w:pPr>
      <w:r>
        <w:rPr>
          <w:rFonts w:hint="eastAsia" w:hAnsi="宋体"/>
        </w:rPr>
        <w:t>（1）比选申请文件递交截止时间止，比选申请人少于3个的；</w:t>
      </w:r>
    </w:p>
    <w:p w14:paraId="2D095482">
      <w:pPr>
        <w:pStyle w:val="15"/>
        <w:snapToGrid w:val="0"/>
        <w:spacing w:line="360" w:lineRule="auto"/>
        <w:ind w:firstLine="411" w:firstLineChars="196"/>
        <w:rPr>
          <w:rFonts w:hint="eastAsia" w:hAnsi="宋体"/>
        </w:rPr>
      </w:pPr>
      <w:r>
        <w:rPr>
          <w:rFonts w:hint="eastAsia" w:hAnsi="宋体"/>
        </w:rPr>
        <w:t>（2）经评标委员会评审后否决所有比选申请文件的。</w:t>
      </w:r>
    </w:p>
    <w:p w14:paraId="59FBD17F">
      <w:pPr>
        <w:pStyle w:val="15"/>
        <w:snapToGrid w:val="0"/>
        <w:spacing w:line="360" w:lineRule="auto"/>
        <w:ind w:firstLine="411" w:firstLineChars="196"/>
        <w:rPr>
          <w:rFonts w:hint="eastAsia" w:hAnsi="宋体"/>
        </w:rPr>
      </w:pPr>
      <w:bookmarkStart w:id="23" w:name="_Toc184635079"/>
      <w:r>
        <w:rPr>
          <w:rFonts w:hint="eastAsia" w:hAnsi="宋体"/>
        </w:rPr>
        <w:t>九、纪律和监督</w:t>
      </w:r>
      <w:bookmarkEnd w:id="23"/>
    </w:p>
    <w:p w14:paraId="2CA0DFE9">
      <w:pPr>
        <w:pStyle w:val="15"/>
        <w:snapToGrid w:val="0"/>
        <w:spacing w:line="360" w:lineRule="auto"/>
        <w:ind w:firstLine="411" w:firstLineChars="196"/>
        <w:rPr>
          <w:rFonts w:hint="eastAsia" w:hAnsi="宋体"/>
        </w:rPr>
      </w:pPr>
      <w:r>
        <w:rPr>
          <w:rFonts w:hint="eastAsia" w:hAnsi="宋体"/>
        </w:rPr>
        <w:t>1 对比选人的纪律要求</w:t>
      </w:r>
    </w:p>
    <w:p w14:paraId="32BAC144">
      <w:pPr>
        <w:pStyle w:val="15"/>
        <w:snapToGrid w:val="0"/>
        <w:spacing w:line="360" w:lineRule="auto"/>
        <w:ind w:firstLine="411" w:firstLineChars="196"/>
        <w:rPr>
          <w:rFonts w:hint="eastAsia" w:hAnsi="宋体"/>
        </w:rPr>
      </w:pPr>
      <w:r>
        <w:rPr>
          <w:rFonts w:hint="eastAsia" w:hAnsi="宋体"/>
        </w:rPr>
        <w:t>比选人不得泄露招标投标活动中应当保密的情况和资料，不得与比选申请人串通损害国家利益、社会公共利益或者他人合法权益。</w:t>
      </w:r>
    </w:p>
    <w:p w14:paraId="41951C74">
      <w:pPr>
        <w:pStyle w:val="15"/>
        <w:snapToGrid w:val="0"/>
        <w:spacing w:line="360" w:lineRule="auto"/>
        <w:ind w:firstLine="411" w:firstLineChars="196"/>
        <w:rPr>
          <w:rFonts w:hint="eastAsia" w:hAnsi="宋体"/>
        </w:rPr>
      </w:pPr>
      <w:r>
        <w:rPr>
          <w:rFonts w:hint="eastAsia" w:hAnsi="宋体"/>
        </w:rPr>
        <w:t>2 对比选申请人的纪律要求</w:t>
      </w:r>
    </w:p>
    <w:p w14:paraId="10716450">
      <w:pPr>
        <w:pStyle w:val="15"/>
        <w:snapToGrid w:val="0"/>
        <w:spacing w:line="360" w:lineRule="auto"/>
        <w:ind w:firstLine="411" w:firstLineChars="196"/>
        <w:rPr>
          <w:rFonts w:hint="eastAsia" w:hAnsi="宋体"/>
        </w:rPr>
      </w:pPr>
      <w:r>
        <w:rPr>
          <w:rFonts w:hint="eastAsia" w:hAnsi="宋体"/>
        </w:rPr>
        <w:t>比选申请人不得相互串通投标或者与比选人串通投标，不得向比选人或者评标委员会成员行贿谋取中标，不得以他人名义投标或者以其他方式弄虚作假骗取中标；比选申请人不得以任何方式干扰、影响评标工作。</w:t>
      </w:r>
    </w:p>
    <w:p w14:paraId="69220031">
      <w:pPr>
        <w:pStyle w:val="15"/>
        <w:snapToGrid w:val="0"/>
        <w:spacing w:line="360" w:lineRule="auto"/>
        <w:ind w:firstLine="411" w:firstLineChars="196"/>
        <w:rPr>
          <w:rFonts w:hint="eastAsia" w:hAnsi="宋体"/>
        </w:rPr>
      </w:pPr>
      <w:r>
        <w:rPr>
          <w:rFonts w:hint="eastAsia" w:hAnsi="宋体"/>
        </w:rPr>
        <w:t>3 对评标委员会成员的纪律要求</w:t>
      </w:r>
    </w:p>
    <w:p w14:paraId="586E3B4E">
      <w:pPr>
        <w:pStyle w:val="15"/>
        <w:snapToGrid w:val="0"/>
        <w:spacing w:line="360" w:lineRule="auto"/>
        <w:ind w:firstLine="411" w:firstLineChars="196"/>
        <w:rPr>
          <w:rFonts w:hint="eastAsia" w:hAnsi="宋体"/>
        </w:rPr>
      </w:pPr>
      <w:r>
        <w:rPr>
          <w:rFonts w:hint="eastAsia" w:hAnsi="宋体"/>
        </w:rPr>
        <w:t>评标委员会成员不得收受他人的财物或者其他好处，不得向他人透漏对比选申请文件的评审和比较、中选候选人的推荐情况以及评标有关的其他情况。在评标活动中，评标委员会成员不得擅离职守，影响评标程序正常进行，不得使用第三章“评审办法和标准”没有规定的评审因素和标准进行评标。</w:t>
      </w:r>
    </w:p>
    <w:p w14:paraId="17E60192">
      <w:pPr>
        <w:pStyle w:val="15"/>
        <w:snapToGrid w:val="0"/>
        <w:spacing w:line="360" w:lineRule="auto"/>
        <w:ind w:firstLine="411" w:firstLineChars="196"/>
        <w:rPr>
          <w:rFonts w:hint="eastAsia" w:hAnsi="宋体"/>
        </w:rPr>
      </w:pPr>
      <w:r>
        <w:rPr>
          <w:rFonts w:hint="eastAsia" w:hAnsi="宋体"/>
        </w:rPr>
        <w:t>4 对与评标活动有关的工作人员的纪律要求</w:t>
      </w:r>
    </w:p>
    <w:p w14:paraId="6DD6F688">
      <w:pPr>
        <w:pStyle w:val="15"/>
        <w:snapToGrid w:val="0"/>
        <w:spacing w:line="360" w:lineRule="auto"/>
        <w:ind w:firstLine="411" w:firstLineChars="196"/>
        <w:rPr>
          <w:rFonts w:hint="eastAsia" w:hAnsi="宋体"/>
        </w:rPr>
      </w:pPr>
      <w:r>
        <w:rPr>
          <w:rFonts w:hint="eastAsia" w:hAnsi="宋体"/>
        </w:rPr>
        <w:t>与评标活动有关的工作人员不得收受他人的财物或者其他好处，不得向他人透漏对比选申请文件的评审和比较、中选候选人的推荐情况以及评标有关的其他情况。在评标活动中，与评标活动有关的工作人员不得擅离职守，影响评标程序正常进行。</w:t>
      </w:r>
    </w:p>
    <w:p w14:paraId="6ABCBDF5">
      <w:pPr>
        <w:pStyle w:val="15"/>
        <w:snapToGrid w:val="0"/>
        <w:spacing w:line="360" w:lineRule="auto"/>
        <w:ind w:firstLine="411" w:firstLineChars="196"/>
        <w:rPr>
          <w:rFonts w:hint="eastAsia" w:hAnsi="宋体"/>
        </w:rPr>
      </w:pPr>
      <w:r>
        <w:rPr>
          <w:rFonts w:hint="eastAsia" w:hAnsi="宋体"/>
        </w:rPr>
        <w:t>5 投诉</w:t>
      </w:r>
    </w:p>
    <w:p w14:paraId="65D05843">
      <w:pPr>
        <w:pStyle w:val="15"/>
        <w:snapToGrid w:val="0"/>
        <w:spacing w:line="360" w:lineRule="auto"/>
        <w:ind w:firstLine="411" w:firstLineChars="196"/>
        <w:rPr>
          <w:rFonts w:hint="eastAsia" w:hAnsi="宋体"/>
        </w:rPr>
      </w:pPr>
      <w:r>
        <w:rPr>
          <w:rFonts w:hint="eastAsia" w:hAnsi="宋体"/>
        </w:rPr>
        <w:t>比选申请人和其他利害关系人认为本次招标活动违反法律、法规和规章规定的，有权向监督部门投诉。</w:t>
      </w:r>
    </w:p>
    <w:p w14:paraId="04D6F0A3">
      <w:pPr>
        <w:pStyle w:val="2"/>
        <w:spacing w:after="0"/>
        <w:ind w:firstLine="560"/>
      </w:pPr>
      <w:r>
        <w:br w:type="page"/>
      </w:r>
      <w:bookmarkStart w:id="24" w:name="_Toc496658007"/>
    </w:p>
    <w:p w14:paraId="0ECA7B48">
      <w:pPr>
        <w:jc w:val="left"/>
      </w:pPr>
    </w:p>
    <w:p w14:paraId="44DA5F14">
      <w:pPr>
        <w:pStyle w:val="5"/>
        <w:keepLines/>
        <w:spacing w:line="360" w:lineRule="auto"/>
        <w:jc w:val="center"/>
        <w:rPr>
          <w:rFonts w:hint="eastAsia" w:ascii="黑体" w:hAnsi="黑体" w:eastAsia="黑体"/>
          <w:sz w:val="44"/>
        </w:rPr>
      </w:pPr>
      <w:bookmarkStart w:id="25" w:name="_Toc9499"/>
      <w:bookmarkStart w:id="26" w:name="_Toc31228"/>
      <w:bookmarkStart w:id="27" w:name="_Toc26683"/>
      <w:bookmarkStart w:id="28" w:name="_Toc12971"/>
      <w:bookmarkStart w:id="29" w:name="_Toc6437"/>
      <w:r>
        <w:rPr>
          <w:rFonts w:hint="eastAsia" w:ascii="宋体" w:hAnsi="宋体"/>
          <w:b/>
          <w:bCs/>
          <w:kern w:val="44"/>
          <w:sz w:val="48"/>
          <w:szCs w:val="48"/>
          <w:u w:val="none"/>
        </w:rPr>
        <w:t>第三章</w:t>
      </w:r>
      <w:r>
        <w:rPr>
          <w:rFonts w:hint="eastAsia" w:ascii="宋体" w:hAnsi="宋体"/>
          <w:b/>
          <w:bCs/>
          <w:kern w:val="44"/>
          <w:sz w:val="48"/>
          <w:szCs w:val="48"/>
          <w:u w:val="none"/>
          <w:lang w:val="en-US" w:eastAsia="zh-CN"/>
        </w:rPr>
        <w:t xml:space="preserve"> </w:t>
      </w:r>
      <w:r>
        <w:rPr>
          <w:rFonts w:hint="eastAsia" w:ascii="宋体" w:hAnsi="宋体"/>
          <w:b/>
          <w:bCs/>
          <w:kern w:val="44"/>
          <w:sz w:val="48"/>
          <w:szCs w:val="48"/>
          <w:u w:val="none"/>
        </w:rPr>
        <w:t>评标办法</w:t>
      </w:r>
      <w:bookmarkEnd w:id="24"/>
      <w:bookmarkEnd w:id="25"/>
      <w:bookmarkEnd w:id="26"/>
      <w:bookmarkEnd w:id="27"/>
      <w:bookmarkEnd w:id="28"/>
      <w:bookmarkStart w:id="30" w:name="_bookmark125"/>
      <w:bookmarkEnd w:id="30"/>
      <w:bookmarkStart w:id="31" w:name="_Toc291595859"/>
      <w:r>
        <w:rPr>
          <w:rFonts w:hint="eastAsia" w:ascii="宋体" w:hAnsi="宋体"/>
          <w:b/>
          <w:bCs/>
          <w:kern w:val="44"/>
          <w:sz w:val="48"/>
          <w:szCs w:val="48"/>
          <w:u w:val="none"/>
        </w:rPr>
        <w:t>（</w:t>
      </w:r>
      <w:r>
        <w:rPr>
          <w:rFonts w:hint="eastAsia" w:ascii="宋体" w:hAnsi="宋体"/>
          <w:b/>
          <w:bCs/>
          <w:kern w:val="44"/>
          <w:sz w:val="48"/>
          <w:szCs w:val="48"/>
          <w:u w:val="none"/>
          <w:lang w:eastAsia="zh-CN"/>
        </w:rPr>
        <w:t>综合评</w:t>
      </w:r>
      <w:r>
        <w:rPr>
          <w:rFonts w:hint="eastAsia" w:ascii="宋体" w:hAnsi="宋体"/>
          <w:b/>
          <w:bCs/>
          <w:kern w:val="44"/>
          <w:sz w:val="48"/>
          <w:szCs w:val="48"/>
          <w:u w:val="none"/>
          <w:lang w:val="en-US" w:eastAsia="zh-CN"/>
        </w:rPr>
        <w:t>分</w:t>
      </w:r>
      <w:r>
        <w:rPr>
          <w:rFonts w:hint="eastAsia" w:ascii="宋体" w:hAnsi="宋体"/>
          <w:b/>
          <w:bCs/>
          <w:kern w:val="44"/>
          <w:sz w:val="48"/>
          <w:szCs w:val="48"/>
          <w:u w:val="none"/>
          <w:lang w:eastAsia="zh-CN"/>
        </w:rPr>
        <w:t>法</w:t>
      </w:r>
      <w:r>
        <w:rPr>
          <w:rFonts w:hint="eastAsia" w:ascii="宋体" w:hAnsi="宋体"/>
          <w:b/>
          <w:bCs/>
          <w:kern w:val="44"/>
          <w:sz w:val="48"/>
          <w:szCs w:val="48"/>
          <w:u w:val="none"/>
        </w:rPr>
        <w:t>）</w:t>
      </w:r>
      <w:bookmarkEnd w:id="29"/>
    </w:p>
    <w:p w14:paraId="087E4F25">
      <w:pPr>
        <w:pStyle w:val="15"/>
        <w:widowControl/>
        <w:snapToGrid w:val="0"/>
        <w:ind w:firstLine="562" w:firstLineChars="200"/>
        <w:jc w:val="center"/>
        <w:outlineLvl w:val="1"/>
        <w:rPr>
          <w:rFonts w:hint="eastAsia" w:ascii="黑体" w:hAnsi="宋体" w:eastAsia="黑体" w:cs="黑体"/>
          <w:b/>
          <w:bCs/>
          <w:kern w:val="0"/>
          <w:sz w:val="28"/>
          <w:szCs w:val="28"/>
        </w:rPr>
      </w:pPr>
      <w:r>
        <w:rPr>
          <w:rFonts w:hint="eastAsia" w:ascii="黑体" w:hAnsi="宋体" w:eastAsia="黑体" w:cs="黑体"/>
          <w:b/>
          <w:bCs/>
          <w:kern w:val="0"/>
          <w:sz w:val="28"/>
          <w:szCs w:val="28"/>
        </w:rPr>
        <w:t>（一）评标办法前附表</w:t>
      </w:r>
    </w:p>
    <w:p w14:paraId="70AEFFDA">
      <w:pPr>
        <w:tabs>
          <w:tab w:val="left" w:pos="3110"/>
        </w:tabs>
        <w:ind w:firstLine="2700" w:firstLineChars="900"/>
        <w:rPr>
          <w:rFonts w:hint="eastAsia" w:ascii="黑体" w:hAnsi="黑体" w:eastAsia="黑体"/>
          <w:sz w:val="30"/>
          <w:szCs w:val="30"/>
        </w:rPr>
      </w:pPr>
    </w:p>
    <w:p w14:paraId="049A3DFE">
      <w:pPr>
        <w:pStyle w:val="14"/>
        <w:spacing w:after="0"/>
        <w:rPr>
          <w:rFonts w:ascii="黑体"/>
          <w:b/>
          <w:sz w:val="19"/>
        </w:rPr>
      </w:pPr>
    </w:p>
    <w:tbl>
      <w:tblPr>
        <w:tblStyle w:val="26"/>
        <w:tblW w:w="0" w:type="auto"/>
        <w:tblInd w:w="3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549"/>
        <w:gridCol w:w="2131"/>
        <w:gridCol w:w="4720"/>
      </w:tblGrid>
      <w:tr w14:paraId="0E39D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969" w:type="dxa"/>
            <w:gridSpan w:val="2"/>
            <w:tcBorders>
              <w:right w:val="single" w:color="000000" w:sz="6" w:space="0"/>
            </w:tcBorders>
          </w:tcPr>
          <w:p w14:paraId="2C48ED0D">
            <w:pPr>
              <w:pStyle w:val="45"/>
              <w:spacing w:line="440" w:lineRule="exact"/>
              <w:ind w:right="788"/>
              <w:jc w:val="center"/>
              <w:rPr>
                <w:rFonts w:hint="eastAsia"/>
                <w:b/>
                <w:szCs w:val="21"/>
              </w:rPr>
            </w:pPr>
            <w:r>
              <w:rPr>
                <w:b/>
                <w:szCs w:val="21"/>
              </w:rPr>
              <w:t>条款号</w:t>
            </w:r>
          </w:p>
        </w:tc>
        <w:tc>
          <w:tcPr>
            <w:tcW w:w="6851" w:type="dxa"/>
            <w:gridSpan w:val="2"/>
            <w:tcBorders>
              <w:left w:val="single" w:color="000000" w:sz="6" w:space="0"/>
            </w:tcBorders>
            <w:vAlign w:val="center"/>
          </w:tcPr>
          <w:p w14:paraId="04BAD2E9">
            <w:pPr>
              <w:pStyle w:val="45"/>
              <w:spacing w:line="440" w:lineRule="exact"/>
              <w:ind w:right="2340" w:firstLine="1265" w:firstLineChars="600"/>
              <w:jc w:val="center"/>
              <w:rPr>
                <w:rFonts w:hint="eastAsia" w:eastAsia="宋体"/>
                <w:b/>
                <w:szCs w:val="21"/>
                <w:lang w:eastAsia="zh-CN"/>
              </w:rPr>
            </w:pPr>
            <w:r>
              <w:rPr>
                <w:b/>
                <w:szCs w:val="21"/>
              </w:rPr>
              <w:t>评审因素与评审标准</w:t>
            </w:r>
          </w:p>
        </w:tc>
      </w:tr>
      <w:tr w14:paraId="06D86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9" w:hRule="atLeast"/>
        </w:trPr>
        <w:tc>
          <w:tcPr>
            <w:tcW w:w="420" w:type="dxa"/>
          </w:tcPr>
          <w:p w14:paraId="5C011C29">
            <w:pPr>
              <w:pStyle w:val="45"/>
              <w:rPr>
                <w:rFonts w:hint="eastAsia" w:ascii="黑体"/>
                <w:b/>
              </w:rPr>
            </w:pPr>
          </w:p>
          <w:p w14:paraId="31A234ED">
            <w:pPr>
              <w:pStyle w:val="45"/>
              <w:rPr>
                <w:rFonts w:hint="eastAsia" w:ascii="黑体"/>
                <w:b/>
              </w:rPr>
            </w:pPr>
          </w:p>
          <w:p w14:paraId="36D52E62">
            <w:pPr>
              <w:pStyle w:val="45"/>
              <w:rPr>
                <w:rFonts w:hint="eastAsia" w:ascii="黑体"/>
                <w:b/>
              </w:rPr>
            </w:pPr>
          </w:p>
          <w:p w14:paraId="2B61279D">
            <w:pPr>
              <w:pStyle w:val="45"/>
              <w:rPr>
                <w:rFonts w:hint="eastAsia" w:ascii="黑体"/>
                <w:b/>
                <w:sz w:val="28"/>
              </w:rPr>
            </w:pPr>
          </w:p>
          <w:p w14:paraId="49398CD9">
            <w:pPr>
              <w:pStyle w:val="45"/>
              <w:ind w:left="9"/>
              <w:jc w:val="center"/>
              <w:rPr>
                <w:rFonts w:hint="eastAsia" w:ascii="Times New Roman"/>
              </w:rPr>
            </w:pPr>
            <w:r>
              <w:rPr>
                <w:rFonts w:ascii="Times New Roman"/>
              </w:rPr>
              <w:t>1</w:t>
            </w:r>
          </w:p>
        </w:tc>
        <w:tc>
          <w:tcPr>
            <w:tcW w:w="1549" w:type="dxa"/>
            <w:tcBorders>
              <w:right w:val="single" w:color="000000" w:sz="6" w:space="0"/>
            </w:tcBorders>
          </w:tcPr>
          <w:p w14:paraId="3FDD405E">
            <w:pPr>
              <w:pStyle w:val="45"/>
              <w:rPr>
                <w:rFonts w:hint="eastAsia" w:ascii="黑体"/>
                <w:b/>
                <w:sz w:val="20"/>
              </w:rPr>
            </w:pPr>
          </w:p>
          <w:p w14:paraId="25FB2054">
            <w:pPr>
              <w:pStyle w:val="45"/>
              <w:rPr>
                <w:rFonts w:hint="eastAsia" w:ascii="黑体"/>
                <w:b/>
                <w:sz w:val="20"/>
              </w:rPr>
            </w:pPr>
          </w:p>
          <w:p w14:paraId="2E14099D">
            <w:pPr>
              <w:pStyle w:val="45"/>
              <w:rPr>
                <w:rFonts w:hint="eastAsia" w:ascii="黑体"/>
                <w:b/>
                <w:sz w:val="20"/>
              </w:rPr>
            </w:pPr>
          </w:p>
          <w:p w14:paraId="51C1905E">
            <w:pPr>
              <w:pStyle w:val="45"/>
              <w:rPr>
                <w:rFonts w:hint="eastAsia" w:ascii="黑体"/>
                <w:b/>
                <w:sz w:val="20"/>
              </w:rPr>
            </w:pPr>
          </w:p>
          <w:p w14:paraId="09CC592B">
            <w:pPr>
              <w:pStyle w:val="45"/>
              <w:jc w:val="center"/>
              <w:rPr>
                <w:rFonts w:hint="eastAsia"/>
              </w:rPr>
            </w:pPr>
            <w:r>
              <w:t>评标方法</w:t>
            </w:r>
          </w:p>
        </w:tc>
        <w:tc>
          <w:tcPr>
            <w:tcW w:w="6851" w:type="dxa"/>
            <w:gridSpan w:val="2"/>
            <w:tcBorders>
              <w:left w:val="single" w:color="000000" w:sz="6" w:space="0"/>
            </w:tcBorders>
          </w:tcPr>
          <w:p w14:paraId="7F857320">
            <w:pPr>
              <w:pStyle w:val="15"/>
              <w:spacing w:line="360" w:lineRule="auto"/>
              <w:rPr>
                <w:rFonts w:hAnsi="Times New Roman" w:cs="宋体"/>
                <w:kern w:val="0"/>
              </w:rPr>
            </w:pPr>
            <w:r>
              <w:rPr>
                <w:rFonts w:hint="eastAsia" w:hAnsi="Times New Roman" w:cs="宋体"/>
                <w:kern w:val="0"/>
              </w:rPr>
              <w:t>（1）评标委员会按照形式、资格、响应性评审标准进行评审，通过形式、资格、响应性评审的比选申请人通过初步评审。对通过初步评审的所有比选申请人，按照本评标办法前附表的规定，对商务部分、技术部分以及报价部分进行综合评分，然后按照比选申请人的综合得分由高到低的顺序推荐</w:t>
            </w:r>
            <w:r>
              <w:rPr>
                <w:rFonts w:hAnsi="Times New Roman" w:cs="宋体"/>
                <w:kern w:val="0"/>
              </w:rPr>
              <w:t>3</w:t>
            </w:r>
            <w:r>
              <w:rPr>
                <w:rFonts w:hint="eastAsia" w:hAnsi="Times New Roman" w:cs="宋体"/>
                <w:kern w:val="0"/>
              </w:rPr>
              <w:t>名中选候选人（若不足</w:t>
            </w:r>
            <w:r>
              <w:rPr>
                <w:rFonts w:hAnsi="Times New Roman" w:cs="宋体"/>
                <w:kern w:val="0"/>
              </w:rPr>
              <w:t>3</w:t>
            </w:r>
            <w:r>
              <w:rPr>
                <w:rFonts w:hint="eastAsia" w:hAnsi="Times New Roman" w:cs="宋体"/>
                <w:kern w:val="0"/>
              </w:rPr>
              <w:t>名时，按实际数量推荐）</w:t>
            </w:r>
            <w:r>
              <w:rPr>
                <w:rFonts w:hAnsi="Times New Roman" w:cs="宋体"/>
                <w:kern w:val="0"/>
              </w:rPr>
              <w:t>。</w:t>
            </w:r>
          </w:p>
          <w:p w14:paraId="3D9E8EC8">
            <w:pPr>
              <w:pStyle w:val="15"/>
              <w:spacing w:line="360" w:lineRule="auto"/>
            </w:pPr>
            <w:r>
              <w:rPr>
                <w:rFonts w:hint="eastAsia" w:hAnsi="Times New Roman" w:cs="宋体"/>
                <w:kern w:val="0"/>
              </w:rPr>
              <w:t>（2）若比选申请人综合得分相等时，评标委员会按照以下优先顺序推荐中选候选人：报价更低的比选申请人优先，</w:t>
            </w:r>
            <w:r>
              <w:rPr>
                <w:rFonts w:ascii="新宋体" w:hAnsi="新宋体" w:eastAsia="新宋体" w:cs="新宋体"/>
                <w:color w:val="000000"/>
                <w:szCs w:val="22"/>
              </w:rPr>
              <w:t>报价相等的，以技术</w:t>
            </w:r>
            <w:r>
              <w:rPr>
                <w:rFonts w:hint="eastAsia" w:ascii="新宋体" w:hAnsi="新宋体" w:eastAsia="新宋体" w:cs="新宋体"/>
                <w:color w:val="000000"/>
                <w:szCs w:val="22"/>
              </w:rPr>
              <w:t>部分</w:t>
            </w:r>
            <w:r>
              <w:rPr>
                <w:rFonts w:ascii="新宋体" w:hAnsi="新宋体" w:eastAsia="新宋体" w:cs="新宋体"/>
                <w:color w:val="000000"/>
                <w:szCs w:val="22"/>
              </w:rPr>
              <w:t>得分高的优先</w:t>
            </w:r>
            <w:r>
              <w:rPr>
                <w:rFonts w:hint="eastAsia" w:ascii="新宋体" w:hAnsi="新宋体" w:eastAsia="新宋体" w:cs="新宋体"/>
                <w:color w:val="000000"/>
                <w:szCs w:val="22"/>
              </w:rPr>
              <w:t>；若上述因素仍不能排定顺序的，由评标委员会自主确定</w:t>
            </w:r>
            <w:r>
              <w:rPr>
                <w:rFonts w:hint="eastAsia" w:hAnsi="Times New Roman" w:cs="宋体"/>
                <w:kern w:val="0"/>
              </w:rPr>
              <w:t>。</w:t>
            </w:r>
          </w:p>
        </w:tc>
      </w:tr>
      <w:tr w14:paraId="5B0A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restart"/>
            <w:vAlign w:val="center"/>
          </w:tcPr>
          <w:p w14:paraId="3710E31A">
            <w:pPr>
              <w:jc w:val="center"/>
              <w:rPr>
                <w:rFonts w:hint="eastAsia" w:ascii="宋体" w:hAnsi="宋体"/>
                <w:szCs w:val="21"/>
              </w:rPr>
            </w:pPr>
            <w:r>
              <w:rPr>
                <w:rFonts w:hint="eastAsia" w:ascii="宋体" w:hAnsi="宋体"/>
                <w:szCs w:val="21"/>
              </w:rPr>
              <w:t>2</w:t>
            </w:r>
          </w:p>
        </w:tc>
        <w:tc>
          <w:tcPr>
            <w:tcW w:w="1549" w:type="dxa"/>
            <w:vMerge w:val="restart"/>
            <w:vAlign w:val="center"/>
          </w:tcPr>
          <w:p w14:paraId="1DE538AF">
            <w:pPr>
              <w:jc w:val="center"/>
              <w:rPr>
                <w:rFonts w:hint="eastAsia" w:ascii="宋体" w:hAnsi="宋体"/>
                <w:szCs w:val="21"/>
              </w:rPr>
            </w:pPr>
            <w:r>
              <w:rPr>
                <w:rFonts w:hint="eastAsia" w:ascii="宋体" w:hAnsi="宋体"/>
                <w:szCs w:val="21"/>
              </w:rPr>
              <w:t>形式评审</w:t>
            </w:r>
          </w:p>
          <w:p w14:paraId="7DBC5C0D">
            <w:pPr>
              <w:jc w:val="center"/>
              <w:rPr>
                <w:rFonts w:hint="eastAsia" w:ascii="宋体" w:hAnsi="宋体"/>
                <w:szCs w:val="21"/>
              </w:rPr>
            </w:pPr>
            <w:r>
              <w:rPr>
                <w:rFonts w:hint="eastAsia" w:ascii="宋体" w:hAnsi="宋体"/>
                <w:szCs w:val="21"/>
              </w:rPr>
              <w:t>标准</w:t>
            </w:r>
          </w:p>
        </w:tc>
        <w:tc>
          <w:tcPr>
            <w:tcW w:w="2131" w:type="dxa"/>
            <w:vAlign w:val="center"/>
          </w:tcPr>
          <w:p w14:paraId="3E244DB1">
            <w:pPr>
              <w:jc w:val="center"/>
              <w:rPr>
                <w:szCs w:val="21"/>
              </w:rPr>
            </w:pPr>
            <w:r>
              <w:rPr>
                <w:rFonts w:hint="eastAsia"/>
                <w:szCs w:val="21"/>
              </w:rPr>
              <w:t>比选申请人</w:t>
            </w:r>
            <w:r>
              <w:rPr>
                <w:szCs w:val="21"/>
              </w:rPr>
              <w:t>名称</w:t>
            </w:r>
          </w:p>
        </w:tc>
        <w:tc>
          <w:tcPr>
            <w:tcW w:w="4720" w:type="dxa"/>
            <w:vAlign w:val="center"/>
          </w:tcPr>
          <w:p w14:paraId="11C55998">
            <w:pPr>
              <w:pStyle w:val="47"/>
              <w:spacing w:line="360" w:lineRule="auto"/>
              <w:rPr>
                <w:kern w:val="2"/>
              </w:rPr>
            </w:pPr>
            <w:r>
              <w:rPr>
                <w:kern w:val="2"/>
              </w:rPr>
              <w:t>与营业执照上的公司名称一致。</w:t>
            </w:r>
          </w:p>
        </w:tc>
      </w:tr>
      <w:tr w14:paraId="22B6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4819997C">
            <w:pPr>
              <w:spacing w:line="360" w:lineRule="auto"/>
            </w:pPr>
          </w:p>
        </w:tc>
        <w:tc>
          <w:tcPr>
            <w:tcW w:w="1549" w:type="dxa"/>
            <w:vMerge w:val="continue"/>
            <w:vAlign w:val="center"/>
          </w:tcPr>
          <w:p w14:paraId="1921FA86">
            <w:pPr>
              <w:spacing w:line="360" w:lineRule="auto"/>
            </w:pPr>
          </w:p>
        </w:tc>
        <w:tc>
          <w:tcPr>
            <w:tcW w:w="2131" w:type="dxa"/>
            <w:vAlign w:val="center"/>
          </w:tcPr>
          <w:p w14:paraId="47949D4D">
            <w:pPr>
              <w:ind w:firstLine="210" w:firstLineChars="100"/>
              <w:rPr>
                <w:szCs w:val="21"/>
              </w:rPr>
            </w:pPr>
            <w:r>
              <w:rPr>
                <w:szCs w:val="21"/>
              </w:rPr>
              <w:t>签字、盖章要求</w:t>
            </w:r>
          </w:p>
        </w:tc>
        <w:tc>
          <w:tcPr>
            <w:tcW w:w="4720" w:type="dxa"/>
            <w:vAlign w:val="center"/>
          </w:tcPr>
          <w:p w14:paraId="2B637CC6">
            <w:pPr>
              <w:pStyle w:val="47"/>
              <w:spacing w:line="360" w:lineRule="auto"/>
              <w:rPr>
                <w:kern w:val="2"/>
              </w:rPr>
            </w:pPr>
            <w:r>
              <w:rPr>
                <w:kern w:val="2"/>
              </w:rPr>
              <w:t>符合第二章“比选申请人须知前附表”第27项规定</w:t>
            </w:r>
          </w:p>
        </w:tc>
      </w:tr>
      <w:tr w14:paraId="6145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0" w:type="dxa"/>
            <w:vMerge w:val="continue"/>
            <w:vAlign w:val="center"/>
          </w:tcPr>
          <w:p w14:paraId="4E00A6E6">
            <w:pPr>
              <w:spacing w:line="360" w:lineRule="auto"/>
            </w:pPr>
          </w:p>
        </w:tc>
        <w:tc>
          <w:tcPr>
            <w:tcW w:w="1549" w:type="dxa"/>
            <w:vMerge w:val="continue"/>
            <w:vAlign w:val="center"/>
          </w:tcPr>
          <w:p w14:paraId="0A0F96DB">
            <w:pPr>
              <w:spacing w:line="360" w:lineRule="auto"/>
            </w:pPr>
          </w:p>
        </w:tc>
        <w:tc>
          <w:tcPr>
            <w:tcW w:w="2131" w:type="dxa"/>
            <w:vAlign w:val="center"/>
          </w:tcPr>
          <w:p w14:paraId="131B061C">
            <w:pPr>
              <w:jc w:val="center"/>
              <w:rPr>
                <w:rFonts w:eastAsiaTheme="minorEastAsia"/>
                <w:color w:val="000000"/>
                <w:szCs w:val="21"/>
              </w:rPr>
            </w:pPr>
            <w:r>
              <w:rPr>
                <w:rFonts w:hint="eastAsia"/>
                <w:color w:val="000000"/>
                <w:szCs w:val="21"/>
              </w:rPr>
              <w:t>递交备选比选申请方案</w:t>
            </w:r>
          </w:p>
        </w:tc>
        <w:tc>
          <w:tcPr>
            <w:tcW w:w="4720" w:type="dxa"/>
            <w:vAlign w:val="center"/>
          </w:tcPr>
          <w:p w14:paraId="0EC61CA4">
            <w:pPr>
              <w:pStyle w:val="47"/>
              <w:spacing w:line="360" w:lineRule="auto"/>
              <w:rPr>
                <w:kern w:val="2"/>
              </w:rPr>
            </w:pPr>
            <w:r>
              <w:rPr>
                <w:kern w:val="2"/>
              </w:rPr>
              <w:t>符合第二章“比选申请人须知前附表”第26项规定</w:t>
            </w:r>
          </w:p>
        </w:tc>
      </w:tr>
      <w:tr w14:paraId="3C19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43B72B17">
            <w:pPr>
              <w:spacing w:line="360" w:lineRule="auto"/>
            </w:pPr>
          </w:p>
        </w:tc>
        <w:tc>
          <w:tcPr>
            <w:tcW w:w="1549" w:type="dxa"/>
            <w:vMerge w:val="continue"/>
            <w:vAlign w:val="center"/>
          </w:tcPr>
          <w:p w14:paraId="64FCE62C">
            <w:pPr>
              <w:spacing w:line="360" w:lineRule="auto"/>
            </w:pPr>
          </w:p>
        </w:tc>
        <w:tc>
          <w:tcPr>
            <w:tcW w:w="2131" w:type="dxa"/>
            <w:vAlign w:val="center"/>
          </w:tcPr>
          <w:p w14:paraId="55171780">
            <w:pPr>
              <w:jc w:val="center"/>
              <w:rPr>
                <w:szCs w:val="21"/>
              </w:rPr>
            </w:pPr>
            <w:r>
              <w:rPr>
                <w:rFonts w:hint="eastAsia"/>
                <w:szCs w:val="21"/>
              </w:rPr>
              <w:t>比选申请文件</w:t>
            </w:r>
            <w:r>
              <w:rPr>
                <w:szCs w:val="21"/>
              </w:rPr>
              <w:t>格式</w:t>
            </w:r>
          </w:p>
        </w:tc>
        <w:tc>
          <w:tcPr>
            <w:tcW w:w="4720" w:type="dxa"/>
            <w:vAlign w:val="center"/>
          </w:tcPr>
          <w:p w14:paraId="71ED6A74">
            <w:pPr>
              <w:rPr>
                <w:szCs w:val="21"/>
              </w:rPr>
            </w:pPr>
            <w:r>
              <w:rPr>
                <w:szCs w:val="21"/>
              </w:rPr>
              <w:t>符合第七章“比选申请文件格式”和第二章“比选申请人须知前附表”第28项规定</w:t>
            </w:r>
          </w:p>
        </w:tc>
      </w:tr>
      <w:tr w14:paraId="503F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489912DF">
            <w:pPr>
              <w:spacing w:line="360" w:lineRule="auto"/>
            </w:pPr>
          </w:p>
        </w:tc>
        <w:tc>
          <w:tcPr>
            <w:tcW w:w="1549" w:type="dxa"/>
            <w:vMerge w:val="continue"/>
            <w:vAlign w:val="center"/>
          </w:tcPr>
          <w:p w14:paraId="3375C76F">
            <w:pPr>
              <w:spacing w:line="360" w:lineRule="auto"/>
            </w:pPr>
          </w:p>
        </w:tc>
        <w:tc>
          <w:tcPr>
            <w:tcW w:w="2131" w:type="dxa"/>
            <w:vAlign w:val="center"/>
          </w:tcPr>
          <w:p w14:paraId="4870BFAC">
            <w:pPr>
              <w:jc w:val="center"/>
              <w:rPr>
                <w:szCs w:val="21"/>
              </w:rPr>
            </w:pPr>
            <w:r>
              <w:rPr>
                <w:rFonts w:hint="eastAsia"/>
                <w:szCs w:val="21"/>
              </w:rPr>
              <w:t>正、副本</w:t>
            </w:r>
          </w:p>
        </w:tc>
        <w:tc>
          <w:tcPr>
            <w:tcW w:w="4720" w:type="dxa"/>
            <w:vAlign w:val="center"/>
          </w:tcPr>
          <w:p w14:paraId="2875F4DD">
            <w:pPr>
              <w:rPr>
                <w:szCs w:val="21"/>
              </w:rPr>
            </w:pPr>
            <w:r>
              <w:t>符合第二章“比选申请人须知前附表”第2</w:t>
            </w:r>
            <w:r>
              <w:rPr>
                <w:rFonts w:hint="eastAsia"/>
              </w:rPr>
              <w:t>9</w:t>
            </w:r>
            <w:r>
              <w:t>项规定</w:t>
            </w:r>
          </w:p>
        </w:tc>
      </w:tr>
      <w:tr w14:paraId="0588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50E0914D">
            <w:pPr>
              <w:spacing w:line="360" w:lineRule="auto"/>
            </w:pPr>
          </w:p>
        </w:tc>
        <w:tc>
          <w:tcPr>
            <w:tcW w:w="1549" w:type="dxa"/>
            <w:vMerge w:val="continue"/>
            <w:vAlign w:val="center"/>
          </w:tcPr>
          <w:p w14:paraId="52331143">
            <w:pPr>
              <w:spacing w:line="360" w:lineRule="auto"/>
            </w:pPr>
          </w:p>
        </w:tc>
        <w:tc>
          <w:tcPr>
            <w:tcW w:w="2131" w:type="dxa"/>
            <w:vAlign w:val="center"/>
          </w:tcPr>
          <w:p w14:paraId="0C2A0C76">
            <w:pPr>
              <w:jc w:val="center"/>
              <w:rPr>
                <w:szCs w:val="21"/>
              </w:rPr>
            </w:pPr>
            <w:r>
              <w:rPr>
                <w:szCs w:val="21"/>
              </w:rPr>
              <w:t>报价唯一</w:t>
            </w:r>
          </w:p>
        </w:tc>
        <w:tc>
          <w:tcPr>
            <w:tcW w:w="4720" w:type="dxa"/>
          </w:tcPr>
          <w:p w14:paraId="442CCB88">
            <w:pPr>
              <w:pStyle w:val="47"/>
              <w:spacing w:line="360" w:lineRule="auto"/>
              <w:rPr>
                <w:kern w:val="2"/>
              </w:rPr>
            </w:pPr>
            <w:r>
              <w:rPr>
                <w:kern w:val="2"/>
              </w:rPr>
              <w:t>符合第二章“比选申请人须知前附表”第24项要求</w:t>
            </w:r>
          </w:p>
        </w:tc>
      </w:tr>
      <w:tr w14:paraId="50D5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718DC4B9">
            <w:pPr>
              <w:spacing w:line="360" w:lineRule="auto"/>
            </w:pPr>
          </w:p>
        </w:tc>
        <w:tc>
          <w:tcPr>
            <w:tcW w:w="1549" w:type="dxa"/>
            <w:vMerge w:val="continue"/>
            <w:vAlign w:val="center"/>
          </w:tcPr>
          <w:p w14:paraId="66C0D701">
            <w:pPr>
              <w:spacing w:line="360" w:lineRule="auto"/>
            </w:pPr>
          </w:p>
        </w:tc>
        <w:tc>
          <w:tcPr>
            <w:tcW w:w="6851" w:type="dxa"/>
            <w:gridSpan w:val="2"/>
            <w:vAlign w:val="center"/>
          </w:tcPr>
          <w:p w14:paraId="0F052D7D">
            <w:pPr>
              <w:jc w:val="center"/>
              <w:rPr>
                <w:szCs w:val="21"/>
              </w:rPr>
            </w:pPr>
          </w:p>
          <w:p w14:paraId="54AECC02">
            <w:pPr>
              <w:pStyle w:val="47"/>
              <w:spacing w:line="360" w:lineRule="auto"/>
            </w:pPr>
            <w:r>
              <w:rPr>
                <w:b/>
              </w:rPr>
              <w:t>以上评审有一条不通过，则视为形式评审标准不通过，不进入下一步评审，其</w:t>
            </w:r>
            <w:r>
              <w:rPr>
                <w:rFonts w:hint="eastAsia"/>
                <w:b/>
              </w:rPr>
              <w:t>比选申请文件</w:t>
            </w:r>
            <w:r>
              <w:rPr>
                <w:b/>
              </w:rPr>
              <w:t>无效。</w:t>
            </w:r>
          </w:p>
        </w:tc>
      </w:tr>
      <w:tr w14:paraId="28D3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restart"/>
            <w:vAlign w:val="center"/>
          </w:tcPr>
          <w:p w14:paraId="1F1FD518">
            <w:pPr>
              <w:pStyle w:val="15"/>
              <w:snapToGrid w:val="0"/>
              <w:jc w:val="center"/>
              <w:rPr>
                <w:rFonts w:hint="eastAsia" w:hAnsi="宋体"/>
              </w:rPr>
            </w:pPr>
            <w:r>
              <w:rPr>
                <w:rFonts w:hint="eastAsia" w:hAnsi="宋体"/>
              </w:rPr>
              <w:t>3</w:t>
            </w:r>
          </w:p>
        </w:tc>
        <w:tc>
          <w:tcPr>
            <w:tcW w:w="1549" w:type="dxa"/>
            <w:vMerge w:val="restart"/>
            <w:vAlign w:val="center"/>
          </w:tcPr>
          <w:p w14:paraId="233EB630">
            <w:pPr>
              <w:pStyle w:val="15"/>
              <w:snapToGrid w:val="0"/>
              <w:jc w:val="center"/>
              <w:rPr>
                <w:rFonts w:hint="eastAsia" w:hAnsi="宋体"/>
              </w:rPr>
            </w:pPr>
            <w:r>
              <w:rPr>
                <w:rFonts w:hint="eastAsia" w:hAnsi="宋体"/>
              </w:rPr>
              <w:t>资格评审</w:t>
            </w:r>
          </w:p>
          <w:p w14:paraId="37E01951">
            <w:pPr>
              <w:pStyle w:val="15"/>
              <w:snapToGrid w:val="0"/>
              <w:jc w:val="center"/>
              <w:rPr>
                <w:rFonts w:hint="eastAsia" w:hAnsi="宋体"/>
              </w:rPr>
            </w:pPr>
            <w:r>
              <w:rPr>
                <w:rFonts w:hint="eastAsia" w:hAnsi="宋体"/>
              </w:rPr>
              <w:t>标准</w:t>
            </w:r>
          </w:p>
        </w:tc>
        <w:tc>
          <w:tcPr>
            <w:tcW w:w="2131" w:type="dxa"/>
            <w:vAlign w:val="center"/>
          </w:tcPr>
          <w:p w14:paraId="2B381603">
            <w:pPr>
              <w:pStyle w:val="47"/>
              <w:spacing w:line="360" w:lineRule="auto"/>
              <w:jc w:val="center"/>
            </w:pPr>
            <w:r>
              <w:rPr>
                <w:rFonts w:hint="eastAsia"/>
              </w:rPr>
              <w:t>资质要求</w:t>
            </w:r>
          </w:p>
        </w:tc>
        <w:tc>
          <w:tcPr>
            <w:tcW w:w="4720" w:type="dxa"/>
            <w:vAlign w:val="center"/>
          </w:tcPr>
          <w:p w14:paraId="21B145E9">
            <w:pPr>
              <w:pStyle w:val="47"/>
              <w:spacing w:line="360" w:lineRule="auto"/>
              <w:rPr>
                <w:kern w:val="2"/>
              </w:rPr>
            </w:pPr>
            <w:r>
              <w:rPr>
                <w:kern w:val="2"/>
              </w:rPr>
              <w:t>符合第二章“比选申请人须知前附表”第8项规定</w:t>
            </w:r>
          </w:p>
        </w:tc>
      </w:tr>
      <w:tr w14:paraId="623C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5F7E6111">
            <w:pPr>
              <w:adjustRightInd w:val="0"/>
              <w:snapToGrid w:val="0"/>
              <w:spacing w:line="360" w:lineRule="auto"/>
            </w:pPr>
          </w:p>
        </w:tc>
        <w:tc>
          <w:tcPr>
            <w:tcW w:w="1549" w:type="dxa"/>
            <w:vMerge w:val="continue"/>
            <w:vAlign w:val="center"/>
          </w:tcPr>
          <w:p w14:paraId="0E5EA4AB">
            <w:pPr>
              <w:adjustRightInd w:val="0"/>
              <w:snapToGrid w:val="0"/>
              <w:spacing w:line="360" w:lineRule="auto"/>
            </w:pPr>
          </w:p>
        </w:tc>
        <w:tc>
          <w:tcPr>
            <w:tcW w:w="2131" w:type="dxa"/>
            <w:vAlign w:val="center"/>
          </w:tcPr>
          <w:p w14:paraId="5FDFDF47">
            <w:pPr>
              <w:pStyle w:val="47"/>
              <w:spacing w:line="360" w:lineRule="auto"/>
              <w:jc w:val="center"/>
            </w:pPr>
            <w:r>
              <w:rPr>
                <w:rFonts w:hint="eastAsia"/>
              </w:rPr>
              <w:t>设备要求</w:t>
            </w:r>
          </w:p>
        </w:tc>
        <w:tc>
          <w:tcPr>
            <w:tcW w:w="4720" w:type="dxa"/>
            <w:vAlign w:val="center"/>
          </w:tcPr>
          <w:p w14:paraId="2A85989C">
            <w:pPr>
              <w:pStyle w:val="47"/>
              <w:spacing w:line="360" w:lineRule="auto"/>
              <w:rPr>
                <w:kern w:val="2"/>
              </w:rPr>
            </w:pPr>
            <w:r>
              <w:rPr>
                <w:kern w:val="2"/>
              </w:rPr>
              <w:t>符合第二章“比选申请人须知前附表”第8项规定</w:t>
            </w:r>
          </w:p>
        </w:tc>
      </w:tr>
      <w:tr w14:paraId="117A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43808315">
            <w:pPr>
              <w:adjustRightInd w:val="0"/>
              <w:snapToGrid w:val="0"/>
              <w:spacing w:line="360" w:lineRule="auto"/>
            </w:pPr>
          </w:p>
        </w:tc>
        <w:tc>
          <w:tcPr>
            <w:tcW w:w="1549" w:type="dxa"/>
            <w:vMerge w:val="continue"/>
            <w:vAlign w:val="center"/>
          </w:tcPr>
          <w:p w14:paraId="34318FA7">
            <w:pPr>
              <w:adjustRightInd w:val="0"/>
              <w:snapToGrid w:val="0"/>
              <w:spacing w:line="360" w:lineRule="auto"/>
            </w:pPr>
          </w:p>
        </w:tc>
        <w:tc>
          <w:tcPr>
            <w:tcW w:w="2131" w:type="dxa"/>
            <w:vAlign w:val="center"/>
          </w:tcPr>
          <w:p w14:paraId="6C60B708">
            <w:pPr>
              <w:pStyle w:val="47"/>
              <w:spacing w:line="360" w:lineRule="auto"/>
              <w:jc w:val="center"/>
            </w:pPr>
            <w:r>
              <w:t>业绩要求</w:t>
            </w:r>
          </w:p>
        </w:tc>
        <w:tc>
          <w:tcPr>
            <w:tcW w:w="4720" w:type="dxa"/>
            <w:vAlign w:val="center"/>
          </w:tcPr>
          <w:p w14:paraId="555AA50B">
            <w:pPr>
              <w:rPr>
                <w:szCs w:val="21"/>
              </w:rPr>
            </w:pPr>
            <w:r>
              <w:rPr>
                <w:szCs w:val="21"/>
              </w:rPr>
              <w:t>符合第二章“比选申请人须知前附表”第8项规定</w:t>
            </w:r>
          </w:p>
        </w:tc>
      </w:tr>
      <w:tr w14:paraId="57AE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20339FD5">
            <w:pPr>
              <w:adjustRightInd w:val="0"/>
              <w:snapToGrid w:val="0"/>
              <w:spacing w:line="360" w:lineRule="auto"/>
            </w:pPr>
          </w:p>
        </w:tc>
        <w:tc>
          <w:tcPr>
            <w:tcW w:w="1549" w:type="dxa"/>
            <w:vMerge w:val="continue"/>
            <w:vAlign w:val="center"/>
          </w:tcPr>
          <w:p w14:paraId="77876D64">
            <w:pPr>
              <w:adjustRightInd w:val="0"/>
              <w:snapToGrid w:val="0"/>
              <w:spacing w:line="360" w:lineRule="auto"/>
            </w:pPr>
          </w:p>
        </w:tc>
        <w:tc>
          <w:tcPr>
            <w:tcW w:w="2131" w:type="dxa"/>
            <w:vAlign w:val="center"/>
          </w:tcPr>
          <w:p w14:paraId="217C8C51">
            <w:pPr>
              <w:pStyle w:val="47"/>
              <w:spacing w:line="360" w:lineRule="auto"/>
              <w:jc w:val="center"/>
            </w:pPr>
            <w:r>
              <w:t>信誉要求</w:t>
            </w:r>
          </w:p>
        </w:tc>
        <w:tc>
          <w:tcPr>
            <w:tcW w:w="4720" w:type="dxa"/>
            <w:vAlign w:val="center"/>
          </w:tcPr>
          <w:p w14:paraId="421FC3FC">
            <w:pPr>
              <w:rPr>
                <w:szCs w:val="21"/>
              </w:rPr>
            </w:pPr>
            <w:r>
              <w:rPr>
                <w:szCs w:val="21"/>
              </w:rPr>
              <w:t>符合第二章“比选申请人须知前附表”第8项规定</w:t>
            </w:r>
          </w:p>
        </w:tc>
      </w:tr>
      <w:tr w14:paraId="06C5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5BDBDE51">
            <w:pPr>
              <w:adjustRightInd w:val="0"/>
              <w:snapToGrid w:val="0"/>
              <w:spacing w:line="360" w:lineRule="auto"/>
            </w:pPr>
          </w:p>
        </w:tc>
        <w:tc>
          <w:tcPr>
            <w:tcW w:w="1549" w:type="dxa"/>
            <w:vMerge w:val="continue"/>
            <w:vAlign w:val="center"/>
          </w:tcPr>
          <w:p w14:paraId="1CECA058">
            <w:pPr>
              <w:adjustRightInd w:val="0"/>
              <w:snapToGrid w:val="0"/>
              <w:spacing w:line="360" w:lineRule="auto"/>
            </w:pPr>
          </w:p>
        </w:tc>
        <w:tc>
          <w:tcPr>
            <w:tcW w:w="2131" w:type="dxa"/>
            <w:vAlign w:val="center"/>
          </w:tcPr>
          <w:p w14:paraId="3CD01E6B">
            <w:pPr>
              <w:pStyle w:val="47"/>
              <w:spacing w:line="360" w:lineRule="auto"/>
              <w:jc w:val="center"/>
            </w:pPr>
            <w:r>
              <w:rPr>
                <w:rFonts w:hint="eastAsia"/>
              </w:rPr>
              <w:t>其它</w:t>
            </w:r>
            <w:r>
              <w:t>要求</w:t>
            </w:r>
          </w:p>
        </w:tc>
        <w:tc>
          <w:tcPr>
            <w:tcW w:w="4720" w:type="dxa"/>
            <w:vAlign w:val="center"/>
          </w:tcPr>
          <w:p w14:paraId="172BCF88">
            <w:pPr>
              <w:rPr>
                <w:szCs w:val="21"/>
              </w:rPr>
            </w:pPr>
            <w:r>
              <w:rPr>
                <w:szCs w:val="21"/>
              </w:rPr>
              <w:t>符合第二章“比选申请人须知前附表”第8项规定</w:t>
            </w:r>
          </w:p>
        </w:tc>
      </w:tr>
      <w:tr w14:paraId="111B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5B3525D2">
            <w:pPr>
              <w:adjustRightInd w:val="0"/>
              <w:snapToGrid w:val="0"/>
              <w:spacing w:line="360" w:lineRule="auto"/>
            </w:pPr>
          </w:p>
        </w:tc>
        <w:tc>
          <w:tcPr>
            <w:tcW w:w="1549" w:type="dxa"/>
            <w:vMerge w:val="continue"/>
            <w:vAlign w:val="center"/>
          </w:tcPr>
          <w:p w14:paraId="20F8D99C">
            <w:pPr>
              <w:adjustRightInd w:val="0"/>
              <w:snapToGrid w:val="0"/>
              <w:spacing w:line="360" w:lineRule="auto"/>
            </w:pPr>
          </w:p>
        </w:tc>
        <w:tc>
          <w:tcPr>
            <w:tcW w:w="2131" w:type="dxa"/>
            <w:vAlign w:val="center"/>
          </w:tcPr>
          <w:p w14:paraId="05C0F3DE">
            <w:pPr>
              <w:pStyle w:val="47"/>
              <w:spacing w:line="360" w:lineRule="auto"/>
              <w:jc w:val="center"/>
              <w:rPr>
                <w:color w:val="000000"/>
              </w:rPr>
            </w:pPr>
            <w:r>
              <w:rPr>
                <w:bCs/>
                <w:color w:val="000000"/>
              </w:rPr>
              <w:t>联合体申请</w:t>
            </w:r>
          </w:p>
        </w:tc>
        <w:tc>
          <w:tcPr>
            <w:tcW w:w="4720" w:type="dxa"/>
            <w:vAlign w:val="center"/>
          </w:tcPr>
          <w:p w14:paraId="565835FB">
            <w:pPr>
              <w:spacing w:line="360" w:lineRule="auto"/>
              <w:rPr>
                <w:color w:val="000000"/>
                <w:szCs w:val="21"/>
              </w:rPr>
            </w:pPr>
            <w:r>
              <w:rPr>
                <w:color w:val="000000"/>
                <w:szCs w:val="21"/>
              </w:rPr>
              <w:t>符合第二章“</w:t>
            </w:r>
            <w:r>
              <w:rPr>
                <w:rFonts w:hint="eastAsia"/>
                <w:color w:val="000000"/>
                <w:szCs w:val="21"/>
              </w:rPr>
              <w:t>比选申请人</w:t>
            </w:r>
            <w:r>
              <w:rPr>
                <w:color w:val="000000"/>
                <w:szCs w:val="21"/>
              </w:rPr>
              <w:t>须知前附表”第</w:t>
            </w:r>
            <w:r>
              <w:rPr>
                <w:rFonts w:hint="eastAsia"/>
                <w:color w:val="000000"/>
                <w:szCs w:val="21"/>
              </w:rPr>
              <w:t>7</w:t>
            </w:r>
            <w:r>
              <w:rPr>
                <w:color w:val="000000"/>
                <w:szCs w:val="21"/>
              </w:rPr>
              <w:t>项规定</w:t>
            </w:r>
          </w:p>
        </w:tc>
      </w:tr>
      <w:tr w14:paraId="3F3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0A11BC95">
            <w:pPr>
              <w:adjustRightInd w:val="0"/>
              <w:snapToGrid w:val="0"/>
              <w:spacing w:line="360" w:lineRule="auto"/>
            </w:pPr>
          </w:p>
        </w:tc>
        <w:tc>
          <w:tcPr>
            <w:tcW w:w="1549" w:type="dxa"/>
            <w:vMerge w:val="continue"/>
            <w:vAlign w:val="center"/>
          </w:tcPr>
          <w:p w14:paraId="657C5D0B">
            <w:pPr>
              <w:adjustRightInd w:val="0"/>
              <w:snapToGrid w:val="0"/>
              <w:spacing w:line="360" w:lineRule="auto"/>
            </w:pPr>
          </w:p>
        </w:tc>
        <w:tc>
          <w:tcPr>
            <w:tcW w:w="2131" w:type="dxa"/>
            <w:vAlign w:val="center"/>
          </w:tcPr>
          <w:p w14:paraId="6F0A62AF">
            <w:pPr>
              <w:jc w:val="center"/>
              <w:rPr>
                <w:szCs w:val="21"/>
              </w:rPr>
            </w:pPr>
            <w:r>
              <w:rPr>
                <w:rFonts w:hint="eastAsia"/>
                <w:szCs w:val="21"/>
              </w:rPr>
              <w:t>真实性</w:t>
            </w:r>
            <w:r>
              <w:rPr>
                <w:szCs w:val="21"/>
              </w:rPr>
              <w:t>要求</w:t>
            </w:r>
          </w:p>
        </w:tc>
        <w:tc>
          <w:tcPr>
            <w:tcW w:w="4720" w:type="dxa"/>
            <w:vAlign w:val="center"/>
          </w:tcPr>
          <w:p w14:paraId="7C78BECB">
            <w:pPr>
              <w:rPr>
                <w:szCs w:val="21"/>
              </w:rPr>
            </w:pPr>
            <w:r>
              <w:rPr>
                <w:szCs w:val="21"/>
              </w:rPr>
              <w:t>符合第二章“比选申请人须知前附表”第4</w:t>
            </w:r>
            <w:r>
              <w:rPr>
                <w:rFonts w:hint="eastAsia"/>
                <w:szCs w:val="21"/>
              </w:rPr>
              <w:t>3</w:t>
            </w:r>
            <w:r>
              <w:rPr>
                <w:szCs w:val="21"/>
              </w:rPr>
              <w:t>项规定</w:t>
            </w:r>
          </w:p>
        </w:tc>
      </w:tr>
      <w:tr w14:paraId="4A69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0C84CDAF">
            <w:pPr>
              <w:adjustRightInd w:val="0"/>
              <w:snapToGrid w:val="0"/>
              <w:spacing w:line="360" w:lineRule="auto"/>
            </w:pPr>
          </w:p>
        </w:tc>
        <w:tc>
          <w:tcPr>
            <w:tcW w:w="1549" w:type="dxa"/>
            <w:vMerge w:val="continue"/>
            <w:vAlign w:val="center"/>
          </w:tcPr>
          <w:p w14:paraId="5DD36779">
            <w:pPr>
              <w:adjustRightInd w:val="0"/>
              <w:snapToGrid w:val="0"/>
              <w:spacing w:line="360" w:lineRule="auto"/>
            </w:pPr>
          </w:p>
        </w:tc>
        <w:tc>
          <w:tcPr>
            <w:tcW w:w="2131" w:type="dxa"/>
            <w:vAlign w:val="center"/>
          </w:tcPr>
          <w:p w14:paraId="12356FF1">
            <w:pPr>
              <w:pStyle w:val="47"/>
              <w:spacing w:line="360" w:lineRule="auto"/>
              <w:jc w:val="center"/>
            </w:pPr>
            <w:r>
              <w:rPr>
                <w:rFonts w:hint="eastAsia"/>
              </w:rPr>
              <w:t>限制参选的情形</w:t>
            </w:r>
          </w:p>
        </w:tc>
        <w:tc>
          <w:tcPr>
            <w:tcW w:w="4720" w:type="dxa"/>
            <w:vAlign w:val="center"/>
          </w:tcPr>
          <w:p w14:paraId="27142201">
            <w:pPr>
              <w:rPr>
                <w:szCs w:val="21"/>
              </w:rPr>
            </w:pPr>
            <w:r>
              <w:rPr>
                <w:szCs w:val="21"/>
              </w:rPr>
              <w:t>不存在第二章“比选申请人须知前附表”第</w:t>
            </w:r>
            <w:r>
              <w:rPr>
                <w:rFonts w:hint="eastAsia"/>
                <w:szCs w:val="21"/>
              </w:rPr>
              <w:t>42</w:t>
            </w:r>
            <w:r>
              <w:rPr>
                <w:szCs w:val="21"/>
              </w:rPr>
              <w:t>项中任一情形</w:t>
            </w:r>
          </w:p>
        </w:tc>
      </w:tr>
      <w:tr w14:paraId="766F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4609D652">
            <w:pPr>
              <w:adjustRightInd w:val="0"/>
              <w:snapToGrid w:val="0"/>
              <w:spacing w:line="360" w:lineRule="auto"/>
            </w:pPr>
          </w:p>
        </w:tc>
        <w:tc>
          <w:tcPr>
            <w:tcW w:w="1549" w:type="dxa"/>
            <w:vMerge w:val="continue"/>
            <w:vAlign w:val="center"/>
          </w:tcPr>
          <w:p w14:paraId="026FF244">
            <w:pPr>
              <w:adjustRightInd w:val="0"/>
              <w:snapToGrid w:val="0"/>
              <w:spacing w:line="360" w:lineRule="auto"/>
            </w:pPr>
          </w:p>
        </w:tc>
        <w:tc>
          <w:tcPr>
            <w:tcW w:w="6851" w:type="dxa"/>
            <w:gridSpan w:val="2"/>
            <w:vAlign w:val="center"/>
          </w:tcPr>
          <w:p w14:paraId="1BADD274">
            <w:pPr>
              <w:pStyle w:val="47"/>
              <w:jc w:val="left"/>
              <w:rPr>
                <w:kern w:val="2"/>
              </w:rPr>
            </w:pPr>
            <w:r>
              <w:rPr>
                <w:b/>
              </w:rPr>
              <w:t>以上评审有一条不通过，则视为资格评审标准不通过，不进入下一步评审，其</w:t>
            </w:r>
            <w:r>
              <w:rPr>
                <w:rFonts w:hint="eastAsia"/>
                <w:b/>
              </w:rPr>
              <w:t>比选申请文件</w:t>
            </w:r>
            <w:r>
              <w:rPr>
                <w:b/>
              </w:rPr>
              <w:t>无效。</w:t>
            </w:r>
          </w:p>
        </w:tc>
      </w:tr>
      <w:tr w14:paraId="0D18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restart"/>
            <w:vAlign w:val="center"/>
          </w:tcPr>
          <w:p w14:paraId="2A830FC3">
            <w:pPr>
              <w:jc w:val="center"/>
              <w:rPr>
                <w:rFonts w:hint="eastAsia" w:ascii="宋体" w:hAnsi="宋体"/>
                <w:szCs w:val="21"/>
              </w:rPr>
            </w:pPr>
          </w:p>
          <w:p w14:paraId="0100866F">
            <w:pPr>
              <w:jc w:val="center"/>
              <w:rPr>
                <w:rFonts w:hint="eastAsia" w:ascii="宋体" w:hAnsi="宋体"/>
                <w:szCs w:val="21"/>
              </w:rPr>
            </w:pPr>
            <w:r>
              <w:rPr>
                <w:rFonts w:hint="eastAsia" w:ascii="宋体" w:hAnsi="宋体"/>
                <w:szCs w:val="21"/>
              </w:rPr>
              <w:t>4</w:t>
            </w:r>
          </w:p>
        </w:tc>
        <w:tc>
          <w:tcPr>
            <w:tcW w:w="1549" w:type="dxa"/>
            <w:vMerge w:val="restart"/>
            <w:vAlign w:val="center"/>
          </w:tcPr>
          <w:p w14:paraId="0C31F498">
            <w:pPr>
              <w:adjustRightInd w:val="0"/>
              <w:snapToGrid w:val="0"/>
              <w:spacing w:line="360" w:lineRule="auto"/>
              <w:jc w:val="center"/>
            </w:pPr>
          </w:p>
          <w:p w14:paraId="73811B65">
            <w:pPr>
              <w:adjustRightInd w:val="0"/>
              <w:snapToGrid w:val="0"/>
              <w:spacing w:line="360" w:lineRule="auto"/>
              <w:jc w:val="center"/>
            </w:pPr>
            <w:r>
              <w:rPr>
                <w:rFonts w:hint="eastAsia"/>
              </w:rPr>
              <w:t>响应性评审</w:t>
            </w:r>
          </w:p>
          <w:p w14:paraId="3B04F587">
            <w:pPr>
              <w:adjustRightInd w:val="0"/>
              <w:snapToGrid w:val="0"/>
              <w:spacing w:line="360" w:lineRule="auto"/>
              <w:jc w:val="center"/>
            </w:pPr>
            <w:r>
              <w:rPr>
                <w:rFonts w:hint="eastAsia"/>
              </w:rPr>
              <w:t>标准</w:t>
            </w:r>
          </w:p>
        </w:tc>
        <w:tc>
          <w:tcPr>
            <w:tcW w:w="2131" w:type="dxa"/>
            <w:vAlign w:val="center"/>
          </w:tcPr>
          <w:p w14:paraId="484C19A1">
            <w:pPr>
              <w:jc w:val="center"/>
              <w:rPr>
                <w:szCs w:val="21"/>
              </w:rPr>
            </w:pPr>
            <w:r>
              <w:rPr>
                <w:rFonts w:hint="eastAsia"/>
                <w:szCs w:val="21"/>
              </w:rPr>
              <w:t>比选</w:t>
            </w:r>
            <w:r>
              <w:rPr>
                <w:szCs w:val="21"/>
              </w:rPr>
              <w:t>范围</w:t>
            </w:r>
          </w:p>
        </w:tc>
        <w:tc>
          <w:tcPr>
            <w:tcW w:w="4720" w:type="dxa"/>
            <w:vAlign w:val="center"/>
          </w:tcPr>
          <w:p w14:paraId="2A800A4F">
            <w:pPr>
              <w:rPr>
                <w:szCs w:val="21"/>
              </w:rPr>
            </w:pPr>
            <w:r>
              <w:rPr>
                <w:szCs w:val="21"/>
              </w:rPr>
              <w:t>符合第二章“</w:t>
            </w:r>
            <w:r>
              <w:rPr>
                <w:rFonts w:hint="eastAsia"/>
                <w:szCs w:val="21"/>
              </w:rPr>
              <w:t>比选申请人</w:t>
            </w:r>
            <w:r>
              <w:rPr>
                <w:szCs w:val="21"/>
              </w:rPr>
              <w:t>须知前附表”第</w:t>
            </w:r>
            <w:r>
              <w:rPr>
                <w:rFonts w:hint="eastAsia"/>
                <w:szCs w:val="21"/>
              </w:rPr>
              <w:t>5</w:t>
            </w:r>
            <w:r>
              <w:rPr>
                <w:szCs w:val="21"/>
              </w:rPr>
              <w:t>项规定</w:t>
            </w:r>
          </w:p>
        </w:tc>
      </w:tr>
      <w:tr w14:paraId="7D47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420" w:type="dxa"/>
            <w:vMerge w:val="continue"/>
            <w:vAlign w:val="center"/>
          </w:tcPr>
          <w:p w14:paraId="76EFE326">
            <w:pPr>
              <w:adjustRightInd w:val="0"/>
              <w:snapToGrid w:val="0"/>
              <w:spacing w:line="360" w:lineRule="auto"/>
            </w:pPr>
          </w:p>
        </w:tc>
        <w:tc>
          <w:tcPr>
            <w:tcW w:w="1549" w:type="dxa"/>
            <w:vMerge w:val="continue"/>
            <w:vAlign w:val="center"/>
          </w:tcPr>
          <w:p w14:paraId="6BEA2AA7">
            <w:pPr>
              <w:adjustRightInd w:val="0"/>
              <w:snapToGrid w:val="0"/>
              <w:spacing w:line="360" w:lineRule="auto"/>
            </w:pPr>
          </w:p>
        </w:tc>
        <w:tc>
          <w:tcPr>
            <w:tcW w:w="2131" w:type="dxa"/>
            <w:vAlign w:val="center"/>
          </w:tcPr>
          <w:p w14:paraId="117340A2">
            <w:pPr>
              <w:jc w:val="center"/>
              <w:rPr>
                <w:szCs w:val="21"/>
              </w:rPr>
            </w:pPr>
            <w:r>
              <w:rPr>
                <w:rFonts w:hint="eastAsia"/>
                <w:szCs w:val="21"/>
              </w:rPr>
              <w:t>完成期限</w:t>
            </w:r>
          </w:p>
        </w:tc>
        <w:tc>
          <w:tcPr>
            <w:tcW w:w="4720" w:type="dxa"/>
            <w:vAlign w:val="center"/>
          </w:tcPr>
          <w:p w14:paraId="0D8332FD">
            <w:pPr>
              <w:rPr>
                <w:szCs w:val="21"/>
              </w:rPr>
            </w:pPr>
            <w:r>
              <w:rPr>
                <w:szCs w:val="21"/>
              </w:rPr>
              <w:t>符合第二章“</w:t>
            </w:r>
            <w:r>
              <w:rPr>
                <w:rFonts w:hint="eastAsia"/>
                <w:szCs w:val="21"/>
              </w:rPr>
              <w:t>比选申请人</w:t>
            </w:r>
            <w:r>
              <w:rPr>
                <w:szCs w:val="21"/>
              </w:rPr>
              <w:t>须知前附表”第</w:t>
            </w:r>
            <w:r>
              <w:rPr>
                <w:rFonts w:hint="eastAsia"/>
                <w:szCs w:val="21"/>
                <w:lang w:val="en-US" w:eastAsia="zh-CN"/>
              </w:rPr>
              <w:t>6</w:t>
            </w:r>
            <w:r>
              <w:rPr>
                <w:szCs w:val="21"/>
              </w:rPr>
              <w:t>项规定</w:t>
            </w:r>
          </w:p>
        </w:tc>
      </w:tr>
      <w:tr w14:paraId="4006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45A4D38B">
            <w:pPr>
              <w:adjustRightInd w:val="0"/>
              <w:snapToGrid w:val="0"/>
              <w:spacing w:line="360" w:lineRule="auto"/>
            </w:pPr>
          </w:p>
        </w:tc>
        <w:tc>
          <w:tcPr>
            <w:tcW w:w="1549" w:type="dxa"/>
            <w:vMerge w:val="continue"/>
            <w:vAlign w:val="center"/>
          </w:tcPr>
          <w:p w14:paraId="5F544B71">
            <w:pPr>
              <w:adjustRightInd w:val="0"/>
              <w:snapToGrid w:val="0"/>
              <w:spacing w:line="360" w:lineRule="auto"/>
            </w:pPr>
          </w:p>
        </w:tc>
        <w:tc>
          <w:tcPr>
            <w:tcW w:w="2131" w:type="dxa"/>
            <w:vAlign w:val="center"/>
          </w:tcPr>
          <w:p w14:paraId="3FDF26FC">
            <w:pPr>
              <w:jc w:val="center"/>
              <w:rPr>
                <w:color w:val="000000"/>
                <w:szCs w:val="21"/>
              </w:rPr>
            </w:pPr>
            <w:r>
              <w:rPr>
                <w:rFonts w:hint="eastAsia"/>
                <w:color w:val="000000"/>
                <w:szCs w:val="21"/>
              </w:rPr>
              <w:t>分包</w:t>
            </w:r>
          </w:p>
        </w:tc>
        <w:tc>
          <w:tcPr>
            <w:tcW w:w="4720" w:type="dxa"/>
            <w:vAlign w:val="center"/>
          </w:tcPr>
          <w:p w14:paraId="6EE771D4">
            <w:pPr>
              <w:rPr>
                <w:color w:val="000000"/>
                <w:szCs w:val="21"/>
              </w:rPr>
            </w:pPr>
            <w:r>
              <w:rPr>
                <w:color w:val="000000"/>
                <w:szCs w:val="21"/>
              </w:rPr>
              <w:t>符合第二章“</w:t>
            </w:r>
            <w:r>
              <w:rPr>
                <w:rFonts w:hint="eastAsia"/>
                <w:color w:val="000000"/>
                <w:szCs w:val="21"/>
              </w:rPr>
              <w:t>比选申请人</w:t>
            </w:r>
            <w:r>
              <w:rPr>
                <w:color w:val="000000"/>
                <w:szCs w:val="21"/>
              </w:rPr>
              <w:t>须知前附表”第</w:t>
            </w:r>
            <w:r>
              <w:rPr>
                <w:rFonts w:hint="eastAsia"/>
                <w:color w:val="000000"/>
                <w:szCs w:val="21"/>
              </w:rPr>
              <w:t>40</w:t>
            </w:r>
            <w:r>
              <w:rPr>
                <w:color w:val="000000"/>
                <w:szCs w:val="21"/>
              </w:rPr>
              <w:t>项规定</w:t>
            </w:r>
          </w:p>
        </w:tc>
      </w:tr>
      <w:tr w14:paraId="0F14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5D548733">
            <w:pPr>
              <w:adjustRightInd w:val="0"/>
              <w:snapToGrid w:val="0"/>
              <w:spacing w:line="360" w:lineRule="auto"/>
            </w:pPr>
          </w:p>
        </w:tc>
        <w:tc>
          <w:tcPr>
            <w:tcW w:w="1549" w:type="dxa"/>
            <w:vMerge w:val="continue"/>
            <w:vAlign w:val="center"/>
          </w:tcPr>
          <w:p w14:paraId="0ED39DFA">
            <w:pPr>
              <w:adjustRightInd w:val="0"/>
              <w:snapToGrid w:val="0"/>
              <w:spacing w:line="360" w:lineRule="auto"/>
            </w:pPr>
          </w:p>
        </w:tc>
        <w:tc>
          <w:tcPr>
            <w:tcW w:w="2131" w:type="dxa"/>
            <w:vAlign w:val="center"/>
          </w:tcPr>
          <w:p w14:paraId="67602941">
            <w:pPr>
              <w:jc w:val="center"/>
              <w:rPr>
                <w:szCs w:val="21"/>
              </w:rPr>
            </w:pPr>
            <w:r>
              <w:rPr>
                <w:rFonts w:hint="eastAsia"/>
                <w:szCs w:val="21"/>
              </w:rPr>
              <w:t>比选申请有效期</w:t>
            </w:r>
          </w:p>
        </w:tc>
        <w:tc>
          <w:tcPr>
            <w:tcW w:w="4720" w:type="dxa"/>
            <w:vAlign w:val="center"/>
          </w:tcPr>
          <w:p w14:paraId="6F1B8D9C">
            <w:pPr>
              <w:rPr>
                <w:szCs w:val="21"/>
              </w:rPr>
            </w:pPr>
            <w:r>
              <w:rPr>
                <w:szCs w:val="21"/>
              </w:rPr>
              <w:t>符合第二章“</w:t>
            </w:r>
            <w:r>
              <w:rPr>
                <w:rFonts w:hint="eastAsia"/>
                <w:szCs w:val="21"/>
              </w:rPr>
              <w:t>比选申请人</w:t>
            </w:r>
            <w:r>
              <w:rPr>
                <w:szCs w:val="21"/>
              </w:rPr>
              <w:t>须知前附表”第2</w:t>
            </w:r>
            <w:r>
              <w:rPr>
                <w:rFonts w:hint="eastAsia"/>
                <w:szCs w:val="21"/>
              </w:rPr>
              <w:t>3</w:t>
            </w:r>
            <w:r>
              <w:rPr>
                <w:szCs w:val="21"/>
              </w:rPr>
              <w:t>项规定</w:t>
            </w:r>
          </w:p>
        </w:tc>
      </w:tr>
      <w:tr w14:paraId="1318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420" w:type="dxa"/>
            <w:vMerge w:val="continue"/>
            <w:vAlign w:val="center"/>
          </w:tcPr>
          <w:p w14:paraId="20D3A0FE">
            <w:pPr>
              <w:adjustRightInd w:val="0"/>
              <w:snapToGrid w:val="0"/>
              <w:spacing w:line="360" w:lineRule="auto"/>
            </w:pPr>
          </w:p>
        </w:tc>
        <w:tc>
          <w:tcPr>
            <w:tcW w:w="1549" w:type="dxa"/>
            <w:vMerge w:val="continue"/>
            <w:vAlign w:val="center"/>
          </w:tcPr>
          <w:p w14:paraId="71D3E82B">
            <w:pPr>
              <w:adjustRightInd w:val="0"/>
              <w:snapToGrid w:val="0"/>
              <w:spacing w:line="360" w:lineRule="auto"/>
            </w:pPr>
          </w:p>
        </w:tc>
        <w:tc>
          <w:tcPr>
            <w:tcW w:w="2131" w:type="dxa"/>
            <w:vAlign w:val="center"/>
          </w:tcPr>
          <w:p w14:paraId="697EA6CA">
            <w:pPr>
              <w:jc w:val="center"/>
              <w:rPr>
                <w:szCs w:val="21"/>
              </w:rPr>
            </w:pPr>
            <w:r>
              <w:rPr>
                <w:rFonts w:hint="eastAsia"/>
                <w:szCs w:val="21"/>
              </w:rPr>
              <w:t>最高比选申请限价</w:t>
            </w:r>
          </w:p>
        </w:tc>
        <w:tc>
          <w:tcPr>
            <w:tcW w:w="4720" w:type="dxa"/>
            <w:vAlign w:val="center"/>
          </w:tcPr>
          <w:p w14:paraId="3AD18640">
            <w:pPr>
              <w:rPr>
                <w:szCs w:val="21"/>
              </w:rPr>
            </w:pPr>
            <w:r>
              <w:rPr>
                <w:rFonts w:hint="eastAsia"/>
                <w:szCs w:val="21"/>
              </w:rPr>
              <w:t>未超过</w:t>
            </w:r>
            <w:r>
              <w:rPr>
                <w:szCs w:val="21"/>
              </w:rPr>
              <w:t>第二章“</w:t>
            </w:r>
            <w:r>
              <w:rPr>
                <w:rFonts w:hint="eastAsia"/>
                <w:szCs w:val="21"/>
              </w:rPr>
              <w:t>比选申请人</w:t>
            </w:r>
            <w:r>
              <w:rPr>
                <w:szCs w:val="21"/>
              </w:rPr>
              <w:t>须知前附表”第</w:t>
            </w:r>
            <w:r>
              <w:rPr>
                <w:rFonts w:hint="eastAsia"/>
                <w:szCs w:val="21"/>
              </w:rPr>
              <w:t>22</w:t>
            </w:r>
            <w:r>
              <w:rPr>
                <w:szCs w:val="21"/>
              </w:rPr>
              <w:t>项</w:t>
            </w:r>
            <w:r>
              <w:rPr>
                <w:rFonts w:hint="eastAsia"/>
                <w:szCs w:val="21"/>
              </w:rPr>
              <w:t>规定的最高比选申请限价</w:t>
            </w:r>
          </w:p>
        </w:tc>
      </w:tr>
      <w:tr w14:paraId="52B4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1C4B8B1D">
            <w:pPr>
              <w:adjustRightInd w:val="0"/>
              <w:snapToGrid w:val="0"/>
              <w:spacing w:line="360" w:lineRule="auto"/>
            </w:pPr>
          </w:p>
        </w:tc>
        <w:tc>
          <w:tcPr>
            <w:tcW w:w="1549" w:type="dxa"/>
            <w:vMerge w:val="continue"/>
            <w:vAlign w:val="center"/>
          </w:tcPr>
          <w:p w14:paraId="19248971">
            <w:pPr>
              <w:adjustRightInd w:val="0"/>
              <w:snapToGrid w:val="0"/>
              <w:spacing w:line="360" w:lineRule="auto"/>
            </w:pPr>
          </w:p>
        </w:tc>
        <w:tc>
          <w:tcPr>
            <w:tcW w:w="2131" w:type="dxa"/>
            <w:vAlign w:val="center"/>
          </w:tcPr>
          <w:p w14:paraId="29B9667B">
            <w:pPr>
              <w:jc w:val="center"/>
              <w:rPr>
                <w:rFonts w:hint="eastAsia" w:ascii="Times New Roman" w:hAnsi="Times New Roman" w:eastAsia="宋体" w:cs="Times New Roman"/>
                <w:szCs w:val="21"/>
              </w:rPr>
            </w:pPr>
            <w:r>
              <w:rPr>
                <w:rFonts w:hint="eastAsia" w:ascii="Times New Roman" w:hAnsi="Times New Roman" w:eastAsia="宋体" w:cs="Times New Roman"/>
                <w:szCs w:val="21"/>
              </w:rPr>
              <w:t>合同条款</w:t>
            </w:r>
          </w:p>
        </w:tc>
        <w:tc>
          <w:tcPr>
            <w:tcW w:w="4720" w:type="dxa"/>
            <w:vAlign w:val="center"/>
          </w:tcPr>
          <w:p w14:paraId="489D3986">
            <w:pPr>
              <w:rPr>
                <w:rFonts w:hint="eastAsia" w:ascii="宋体" w:hAnsi="宋体" w:cs="宋体"/>
                <w:szCs w:val="21"/>
              </w:rPr>
            </w:pPr>
            <w:r>
              <w:rPr>
                <w:rFonts w:hint="eastAsia" w:ascii="宋体" w:hAnsi="宋体" w:cs="宋体"/>
                <w:szCs w:val="21"/>
              </w:rPr>
              <w:t>接受第五章“合同条款及格式”所有内容</w:t>
            </w:r>
          </w:p>
        </w:tc>
      </w:tr>
      <w:tr w14:paraId="3708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6B8873C9">
            <w:pPr>
              <w:adjustRightInd w:val="0"/>
              <w:snapToGrid w:val="0"/>
              <w:spacing w:line="360" w:lineRule="auto"/>
            </w:pPr>
          </w:p>
        </w:tc>
        <w:tc>
          <w:tcPr>
            <w:tcW w:w="1549" w:type="dxa"/>
            <w:vMerge w:val="continue"/>
            <w:vAlign w:val="center"/>
          </w:tcPr>
          <w:p w14:paraId="77AB996D">
            <w:pPr>
              <w:adjustRightInd w:val="0"/>
              <w:snapToGrid w:val="0"/>
              <w:spacing w:line="360" w:lineRule="auto"/>
            </w:pPr>
          </w:p>
        </w:tc>
        <w:tc>
          <w:tcPr>
            <w:tcW w:w="2131" w:type="dxa"/>
            <w:vAlign w:val="center"/>
          </w:tcPr>
          <w:p w14:paraId="0A43C873">
            <w:pPr>
              <w:jc w:val="center"/>
              <w:rPr>
                <w:rFonts w:hint="eastAsia" w:ascii="Times New Roman" w:hAnsi="Times New Roman" w:eastAsia="宋体" w:cs="Times New Roman"/>
                <w:szCs w:val="21"/>
              </w:rPr>
            </w:pPr>
            <w:r>
              <w:rPr>
                <w:rFonts w:hint="eastAsia" w:ascii="Times New Roman" w:hAnsi="Times New Roman" w:eastAsia="宋体" w:cs="Times New Roman"/>
                <w:sz w:val="21"/>
                <w:szCs w:val="21"/>
              </w:rPr>
              <w:t>设备</w:t>
            </w:r>
            <w:r>
              <w:rPr>
                <w:rFonts w:hint="eastAsia" w:ascii="Times New Roman" w:hAnsi="Times New Roman" w:eastAsia="宋体" w:cs="Times New Roman"/>
                <w:sz w:val="21"/>
                <w:szCs w:val="21"/>
                <w:lang w:val="en-US" w:eastAsia="zh-CN"/>
              </w:rPr>
              <w:t>主要参数和要求</w:t>
            </w:r>
          </w:p>
        </w:tc>
        <w:tc>
          <w:tcPr>
            <w:tcW w:w="4720" w:type="dxa"/>
            <w:vAlign w:val="center"/>
          </w:tcPr>
          <w:p w14:paraId="4F8EC3DA">
            <w:pPr>
              <w:rPr>
                <w:rFonts w:hint="default" w:ascii="宋体" w:hAnsi="宋体" w:eastAsia="宋体" w:cs="宋体"/>
                <w:szCs w:val="21"/>
                <w:lang w:val="en-US" w:eastAsia="zh-CN"/>
              </w:rPr>
            </w:pPr>
            <w:r>
              <w:rPr>
                <w:rFonts w:hint="default" w:ascii="Times New Roman" w:hAnsi="Times New Roman" w:eastAsia="宋体" w:cs="Times New Roman"/>
                <w:szCs w:val="21"/>
                <w:lang w:val="en-US" w:eastAsia="zh-CN"/>
              </w:rPr>
              <w:t>符合第四章“设备标准和要求”</w:t>
            </w:r>
            <w:r>
              <w:rPr>
                <w:rFonts w:ascii="Times New Roman" w:hAnsi="Times New Roman" w:eastAsia="宋体" w:cs="Times New Roman"/>
                <w:kern w:val="2"/>
                <w:sz w:val="21"/>
                <w:szCs w:val="21"/>
                <w:lang w:val="en-US" w:eastAsia="zh-CN" w:bidi="ar-SA"/>
              </w:rPr>
              <w:t>中的实质性要求和条件</w:t>
            </w:r>
            <w:r>
              <w:rPr>
                <w:rFonts w:ascii="新宋体" w:hAnsi="新宋体" w:eastAsia="新宋体" w:cs="新宋体"/>
                <w:color w:val="000000"/>
                <w:kern w:val="2"/>
                <w:sz w:val="21"/>
                <w:szCs w:val="22"/>
                <w:highlight w:val="none"/>
                <w:lang w:val="en-US" w:eastAsia="zh-CN" w:bidi="ar-SA"/>
              </w:rPr>
              <w:t xml:space="preserve"> </w:t>
            </w:r>
          </w:p>
        </w:tc>
      </w:tr>
      <w:tr w14:paraId="23C4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36111175">
            <w:pPr>
              <w:adjustRightInd w:val="0"/>
              <w:snapToGrid w:val="0"/>
              <w:spacing w:line="360" w:lineRule="auto"/>
            </w:pPr>
          </w:p>
        </w:tc>
        <w:tc>
          <w:tcPr>
            <w:tcW w:w="1549" w:type="dxa"/>
            <w:vMerge w:val="continue"/>
            <w:vAlign w:val="center"/>
          </w:tcPr>
          <w:p w14:paraId="4660B239">
            <w:pPr>
              <w:adjustRightInd w:val="0"/>
              <w:snapToGrid w:val="0"/>
              <w:spacing w:line="360" w:lineRule="auto"/>
            </w:pPr>
          </w:p>
        </w:tc>
        <w:tc>
          <w:tcPr>
            <w:tcW w:w="2131" w:type="dxa"/>
            <w:vAlign w:val="center"/>
          </w:tcPr>
          <w:p w14:paraId="57F44920">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其他</w:t>
            </w:r>
          </w:p>
        </w:tc>
        <w:tc>
          <w:tcPr>
            <w:tcW w:w="4720" w:type="dxa"/>
            <w:vAlign w:val="center"/>
          </w:tcPr>
          <w:p w14:paraId="65AA9999">
            <w:pPr>
              <w:rPr>
                <w:rFonts w:hint="eastAsia" w:ascii="Times New Roman" w:hAnsi="Times New Roman" w:eastAsia="宋体" w:cs="Times New Roman"/>
                <w:szCs w:val="21"/>
                <w:lang w:val="en-US" w:eastAsia="zh-CN"/>
              </w:rPr>
            </w:pPr>
            <w:r>
              <w:rPr>
                <w:rFonts w:hint="eastAsia" w:ascii="Times New Roman" w:hAnsi="Times New Roman" w:eastAsia="宋体" w:cs="Times New Roman"/>
                <w:kern w:val="2"/>
                <w:szCs w:val="21"/>
              </w:rPr>
              <w:t>符合比选申请人须知规定</w:t>
            </w:r>
          </w:p>
        </w:tc>
      </w:tr>
      <w:tr w14:paraId="050F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 w:hRule="atLeast"/>
        </w:trPr>
        <w:tc>
          <w:tcPr>
            <w:tcW w:w="420" w:type="dxa"/>
            <w:vMerge w:val="continue"/>
            <w:vAlign w:val="center"/>
          </w:tcPr>
          <w:p w14:paraId="246BB20B">
            <w:pPr>
              <w:adjustRightInd w:val="0"/>
              <w:snapToGrid w:val="0"/>
              <w:spacing w:line="360" w:lineRule="auto"/>
            </w:pPr>
          </w:p>
        </w:tc>
        <w:tc>
          <w:tcPr>
            <w:tcW w:w="1549" w:type="dxa"/>
            <w:vMerge w:val="continue"/>
            <w:vAlign w:val="center"/>
          </w:tcPr>
          <w:p w14:paraId="48ED5DBF">
            <w:pPr>
              <w:adjustRightInd w:val="0"/>
              <w:snapToGrid w:val="0"/>
              <w:spacing w:line="360" w:lineRule="auto"/>
            </w:pPr>
          </w:p>
        </w:tc>
        <w:tc>
          <w:tcPr>
            <w:tcW w:w="6851" w:type="dxa"/>
            <w:gridSpan w:val="2"/>
            <w:vAlign w:val="center"/>
          </w:tcPr>
          <w:p w14:paraId="5532485E">
            <w:pPr>
              <w:adjustRightInd w:val="0"/>
              <w:snapToGrid w:val="0"/>
              <w:spacing w:line="360" w:lineRule="auto"/>
            </w:pPr>
            <w:r>
              <w:rPr>
                <w:b/>
                <w:kern w:val="0"/>
                <w:szCs w:val="21"/>
              </w:rPr>
              <w:t>以上评审有一条不通过，则视为响应性评审标准不通过，不进入下一步评审，其比选申请文件无效。</w:t>
            </w:r>
          </w:p>
        </w:tc>
      </w:tr>
      <w:tr w14:paraId="4472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20" w:type="dxa"/>
            <w:vAlign w:val="center"/>
          </w:tcPr>
          <w:p w14:paraId="33034973">
            <w:pPr>
              <w:pStyle w:val="15"/>
              <w:snapToGrid w:val="0"/>
              <w:jc w:val="center"/>
              <w:rPr>
                <w:rFonts w:hint="eastAsia" w:hAnsi="宋体"/>
              </w:rPr>
            </w:pPr>
            <w:r>
              <w:rPr>
                <w:rFonts w:hint="eastAsia" w:hAnsi="宋体"/>
              </w:rPr>
              <w:t>5</w:t>
            </w:r>
          </w:p>
        </w:tc>
        <w:tc>
          <w:tcPr>
            <w:tcW w:w="1549" w:type="dxa"/>
            <w:vAlign w:val="center"/>
          </w:tcPr>
          <w:p w14:paraId="2025875D">
            <w:pPr>
              <w:jc w:val="center"/>
              <w:rPr>
                <w:rFonts w:hint="eastAsia" w:ascii="宋体" w:hAnsi="宋体"/>
                <w:szCs w:val="21"/>
              </w:rPr>
            </w:pPr>
            <w:r>
              <w:rPr>
                <w:rFonts w:hint="eastAsia" w:ascii="宋体" w:hAnsi="宋体"/>
                <w:szCs w:val="21"/>
              </w:rPr>
              <w:t>分值构成</w:t>
            </w:r>
          </w:p>
          <w:p w14:paraId="5AC6B24E">
            <w:pPr>
              <w:pStyle w:val="15"/>
              <w:snapToGrid w:val="0"/>
              <w:jc w:val="center"/>
              <w:rPr>
                <w:rFonts w:hint="eastAsia" w:hAnsi="宋体"/>
              </w:rPr>
            </w:pPr>
            <w:r>
              <w:rPr>
                <w:rFonts w:hint="eastAsia" w:hAnsi="宋体"/>
              </w:rPr>
              <w:t>（总分100分）</w:t>
            </w:r>
          </w:p>
        </w:tc>
        <w:tc>
          <w:tcPr>
            <w:tcW w:w="6851" w:type="dxa"/>
            <w:gridSpan w:val="2"/>
            <w:vAlign w:val="center"/>
          </w:tcPr>
          <w:p w14:paraId="13B34B08">
            <w:pPr>
              <w:spacing w:line="360" w:lineRule="auto"/>
              <w:ind w:firstLine="105" w:firstLineChars="50"/>
              <w:rPr>
                <w:rFonts w:hint="eastAsia" w:ascii="宋体" w:hAnsi="宋体"/>
                <w:bCs/>
                <w:szCs w:val="21"/>
              </w:rPr>
            </w:pPr>
            <w:r>
              <w:rPr>
                <w:rFonts w:hint="eastAsia" w:ascii="宋体" w:hAnsi="宋体"/>
                <w:bCs/>
                <w:szCs w:val="21"/>
              </w:rPr>
              <w:t>（</w:t>
            </w:r>
            <w:r>
              <w:rPr>
                <w:rFonts w:ascii="宋体" w:hAnsi="宋体"/>
                <w:bCs/>
                <w:szCs w:val="21"/>
              </w:rPr>
              <w:t>1</w:t>
            </w:r>
            <w:r>
              <w:rPr>
                <w:rFonts w:hint="eastAsia" w:ascii="宋体" w:hAnsi="宋体"/>
                <w:bCs/>
                <w:szCs w:val="21"/>
              </w:rPr>
              <w:t>）商务部分：20分</w:t>
            </w:r>
          </w:p>
          <w:p w14:paraId="60522C93">
            <w:pPr>
              <w:spacing w:line="360" w:lineRule="auto"/>
              <w:ind w:firstLine="105" w:firstLineChars="50"/>
              <w:rPr>
                <w:rFonts w:hint="eastAsia" w:ascii="宋体" w:hAnsi="宋体"/>
                <w:bCs/>
                <w:szCs w:val="21"/>
              </w:rPr>
            </w:pPr>
            <w:r>
              <w:rPr>
                <w:rFonts w:hint="eastAsia" w:ascii="宋体" w:hAnsi="宋体"/>
                <w:bCs/>
                <w:szCs w:val="21"/>
              </w:rPr>
              <w:t>（</w:t>
            </w:r>
            <w:r>
              <w:rPr>
                <w:rFonts w:ascii="宋体" w:hAnsi="宋体"/>
                <w:bCs/>
                <w:szCs w:val="21"/>
              </w:rPr>
              <w:t>2</w:t>
            </w:r>
            <w:r>
              <w:rPr>
                <w:rFonts w:hint="eastAsia" w:ascii="宋体" w:hAnsi="宋体"/>
                <w:bCs/>
                <w:szCs w:val="21"/>
              </w:rPr>
              <w:t>）技术部分：30分</w:t>
            </w:r>
          </w:p>
          <w:p w14:paraId="4B84E5DC">
            <w:pPr>
              <w:spacing w:line="360" w:lineRule="auto"/>
              <w:ind w:firstLine="105" w:firstLineChars="50"/>
              <w:rPr>
                <w:rFonts w:hint="eastAsia" w:ascii="宋体" w:hAnsi="宋体"/>
                <w:bCs/>
                <w:szCs w:val="21"/>
              </w:rPr>
            </w:pPr>
            <w:r>
              <w:rPr>
                <w:rFonts w:hint="eastAsia" w:ascii="宋体" w:hAnsi="宋体"/>
                <w:bCs/>
                <w:szCs w:val="21"/>
              </w:rPr>
              <w:t>（3）报价部分：50分</w:t>
            </w:r>
          </w:p>
        </w:tc>
      </w:tr>
      <w:tr w14:paraId="3F04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20" w:type="dxa"/>
            <w:vAlign w:val="center"/>
          </w:tcPr>
          <w:p w14:paraId="096099FC">
            <w:pPr>
              <w:jc w:val="center"/>
              <w:rPr>
                <w:rFonts w:hint="eastAsia" w:ascii="宋体" w:hAnsi="宋体"/>
                <w:szCs w:val="21"/>
              </w:rPr>
            </w:pPr>
            <w:r>
              <w:rPr>
                <w:rFonts w:hint="eastAsia" w:ascii="宋体" w:hAnsi="宋体"/>
                <w:szCs w:val="21"/>
              </w:rPr>
              <w:t>6</w:t>
            </w:r>
          </w:p>
        </w:tc>
        <w:tc>
          <w:tcPr>
            <w:tcW w:w="1549" w:type="dxa"/>
            <w:vAlign w:val="center"/>
          </w:tcPr>
          <w:p w14:paraId="5A000521">
            <w:pPr>
              <w:jc w:val="center"/>
              <w:rPr>
                <w:rFonts w:hint="eastAsia" w:ascii="宋体" w:hAnsi="宋体"/>
                <w:szCs w:val="21"/>
              </w:rPr>
            </w:pPr>
            <w:r>
              <w:rPr>
                <w:rFonts w:hint="eastAsia" w:ascii="宋体" w:hAnsi="宋体"/>
                <w:szCs w:val="21"/>
              </w:rPr>
              <w:t>评标基准价</w:t>
            </w:r>
          </w:p>
          <w:p w14:paraId="4DD19FC0">
            <w:pPr>
              <w:jc w:val="center"/>
              <w:rPr>
                <w:rFonts w:hint="eastAsia" w:ascii="宋体" w:hAnsi="宋体"/>
                <w:szCs w:val="21"/>
              </w:rPr>
            </w:pPr>
            <w:r>
              <w:rPr>
                <w:rFonts w:hint="eastAsia" w:ascii="宋体" w:hAnsi="宋体"/>
                <w:szCs w:val="21"/>
              </w:rPr>
              <w:t>计算</w:t>
            </w:r>
          </w:p>
        </w:tc>
        <w:tc>
          <w:tcPr>
            <w:tcW w:w="6851" w:type="dxa"/>
            <w:gridSpan w:val="2"/>
            <w:vAlign w:val="center"/>
          </w:tcPr>
          <w:p w14:paraId="7DEA5DA4">
            <w:pPr>
              <w:numPr>
                <w:ilvl w:val="255"/>
                <w:numId w:val="0"/>
              </w:numPr>
              <w:spacing w:line="360" w:lineRule="auto"/>
              <w:jc w:val="left"/>
              <w:rPr>
                <w:szCs w:val="21"/>
              </w:rPr>
            </w:pPr>
            <w:r>
              <w:rPr>
                <w:rFonts w:hint="eastAsia"/>
                <w:szCs w:val="21"/>
              </w:rPr>
              <w:t>一、</w:t>
            </w:r>
            <w:r>
              <w:rPr>
                <w:szCs w:val="21"/>
              </w:rPr>
              <w:t>评标基准价：</w:t>
            </w:r>
          </w:p>
          <w:p w14:paraId="23175511">
            <w:pPr>
              <w:numPr>
                <w:ilvl w:val="255"/>
                <w:numId w:val="0"/>
              </w:numPr>
              <w:spacing w:line="360" w:lineRule="auto"/>
              <w:jc w:val="left"/>
              <w:rPr>
                <w:szCs w:val="21"/>
              </w:rPr>
            </w:pPr>
            <w:r>
              <w:rPr>
                <w:rFonts w:hint="eastAsia"/>
                <w:szCs w:val="21"/>
              </w:rPr>
              <w:t>1、当通过形式、资格评审的有效投标报价在五家以上时（含五家），评标基准价为经评审的有效投标报价中去掉最高报价和最低报价后其余有效投标报价总和的算术平均值。</w:t>
            </w:r>
          </w:p>
          <w:p w14:paraId="512723A6">
            <w:pPr>
              <w:numPr>
                <w:ilvl w:val="255"/>
                <w:numId w:val="0"/>
              </w:numPr>
              <w:spacing w:line="360" w:lineRule="auto"/>
              <w:jc w:val="left"/>
              <w:rPr>
                <w:szCs w:val="21"/>
              </w:rPr>
            </w:pPr>
            <w:r>
              <w:rPr>
                <w:szCs w:val="21"/>
              </w:rPr>
              <w:t>2、当通过形式、资格评审的有效</w:t>
            </w:r>
            <w:r>
              <w:rPr>
                <w:rFonts w:hint="eastAsia"/>
                <w:szCs w:val="21"/>
              </w:rPr>
              <w:t>投标</w:t>
            </w:r>
            <w:r>
              <w:rPr>
                <w:szCs w:val="21"/>
              </w:rPr>
              <w:t>报价在五家以内时，评标基准价为经评审的有效</w:t>
            </w:r>
            <w:r>
              <w:rPr>
                <w:rFonts w:hint="eastAsia"/>
                <w:szCs w:val="21"/>
              </w:rPr>
              <w:t>投标</w:t>
            </w:r>
            <w:r>
              <w:rPr>
                <w:szCs w:val="21"/>
              </w:rPr>
              <w:t>报价总和的算术平均值。</w:t>
            </w:r>
          </w:p>
          <w:p w14:paraId="08119644">
            <w:pPr>
              <w:pStyle w:val="14"/>
              <w:rPr>
                <w:rFonts w:hint="default" w:eastAsia="宋体"/>
                <w:szCs w:val="21"/>
                <w:lang w:val="en-US" w:eastAsia="zh-CN"/>
              </w:rPr>
            </w:pPr>
            <w:r>
              <w:rPr>
                <w:rFonts w:hint="eastAsia"/>
                <w:szCs w:val="21"/>
                <w:lang w:val="en-US" w:eastAsia="zh-CN"/>
              </w:rPr>
              <w:t>3、以上计算过程和计算结果均保留小数点后两位，第三位四舍五入。</w:t>
            </w:r>
          </w:p>
          <w:p w14:paraId="4B42069F">
            <w:pPr>
              <w:autoSpaceDE w:val="0"/>
              <w:autoSpaceDN w:val="0"/>
              <w:spacing w:line="360" w:lineRule="auto"/>
            </w:pPr>
            <w:r>
              <w:rPr>
                <w:rFonts w:hint="eastAsia"/>
              </w:rPr>
              <w:t>二、通过初步评审的比选申请人报价经复核若具有算术性错误，按修正后的报价为准。</w:t>
            </w:r>
          </w:p>
        </w:tc>
      </w:tr>
      <w:tr w14:paraId="5CC6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420" w:type="dxa"/>
            <w:vAlign w:val="center"/>
          </w:tcPr>
          <w:p w14:paraId="38EACECC">
            <w:pPr>
              <w:jc w:val="center"/>
              <w:rPr>
                <w:rFonts w:hint="eastAsia" w:ascii="宋体" w:hAnsi="宋体"/>
                <w:szCs w:val="21"/>
              </w:rPr>
            </w:pPr>
            <w:r>
              <w:rPr>
                <w:rFonts w:hint="eastAsia" w:ascii="宋体" w:hAnsi="宋体"/>
                <w:szCs w:val="21"/>
              </w:rPr>
              <w:t>7</w:t>
            </w:r>
          </w:p>
        </w:tc>
        <w:tc>
          <w:tcPr>
            <w:tcW w:w="1549" w:type="dxa"/>
            <w:vAlign w:val="center"/>
          </w:tcPr>
          <w:p w14:paraId="230C47DF">
            <w:pPr>
              <w:jc w:val="center"/>
              <w:rPr>
                <w:rFonts w:hint="eastAsia" w:ascii="宋体" w:hAnsi="宋体"/>
                <w:szCs w:val="21"/>
              </w:rPr>
            </w:pPr>
            <w:r>
              <w:rPr>
                <w:rFonts w:hint="eastAsia" w:hAnsi="宋体"/>
              </w:rPr>
              <w:t>比选申请报价的偏差率计算</w:t>
            </w:r>
          </w:p>
        </w:tc>
        <w:tc>
          <w:tcPr>
            <w:tcW w:w="6851" w:type="dxa"/>
            <w:gridSpan w:val="2"/>
            <w:vAlign w:val="center"/>
          </w:tcPr>
          <w:p w14:paraId="292DEEBC">
            <w:pPr>
              <w:snapToGrid w:val="0"/>
              <w:spacing w:line="380" w:lineRule="exact"/>
              <w:ind w:left="29" w:leftChars="14"/>
              <w:rPr>
                <w:rFonts w:hint="eastAsia" w:ascii="宋体" w:hAnsi="宋体"/>
                <w:szCs w:val="21"/>
              </w:rPr>
            </w:pPr>
            <w:r>
              <w:rPr>
                <w:rFonts w:hint="eastAsia"/>
                <w:kern w:val="0"/>
                <w:szCs w:val="21"/>
              </w:rPr>
              <w:t>偏差率</w:t>
            </w:r>
            <w:r>
              <w:rPr>
                <w:kern w:val="0"/>
                <w:szCs w:val="21"/>
              </w:rPr>
              <w:t>=100%</w:t>
            </w:r>
            <w:r>
              <w:rPr>
                <w:rFonts w:hint="eastAsia" w:ascii="宋体" w:hAnsi="宋体"/>
                <w:szCs w:val="21"/>
              </w:rPr>
              <w:t>×｜（比选申请报价</w:t>
            </w:r>
            <w:r>
              <w:rPr>
                <w:rFonts w:ascii="宋体" w:hAnsi="宋体"/>
                <w:szCs w:val="21"/>
              </w:rPr>
              <w:t>-</w:t>
            </w:r>
            <w:r>
              <w:rPr>
                <w:rFonts w:hint="eastAsia" w:ascii="宋体" w:hAnsi="宋体"/>
                <w:szCs w:val="21"/>
              </w:rPr>
              <w:t>评标基准价）</w:t>
            </w:r>
            <w:r>
              <w:rPr>
                <w:rFonts w:ascii="宋体" w:hAnsi="宋体"/>
                <w:szCs w:val="21"/>
              </w:rPr>
              <w:t>/</w:t>
            </w:r>
            <w:r>
              <w:rPr>
                <w:rFonts w:hint="eastAsia" w:ascii="宋体" w:hAnsi="宋体"/>
                <w:szCs w:val="21"/>
              </w:rPr>
              <w:t>评标基准价｜</w:t>
            </w:r>
          </w:p>
          <w:p w14:paraId="622C6907">
            <w:pPr>
              <w:snapToGrid w:val="0"/>
              <w:spacing w:line="380" w:lineRule="exact"/>
              <w:ind w:left="29" w:leftChars="14"/>
              <w:rPr>
                <w:rFonts w:ascii="宋体"/>
                <w:bCs/>
                <w:szCs w:val="21"/>
                <w:u w:val="single"/>
              </w:rPr>
            </w:pPr>
            <w:r>
              <w:rPr>
                <w:rFonts w:hint="eastAsia" w:ascii="宋体" w:hAnsi="宋体"/>
                <w:szCs w:val="21"/>
              </w:rPr>
              <w:t>（取小</w:t>
            </w:r>
            <w:r>
              <w:rPr>
                <w:rFonts w:hint="eastAsia"/>
                <w:kern w:val="0"/>
                <w:szCs w:val="21"/>
              </w:rPr>
              <w:t>数点</w:t>
            </w:r>
            <w:r>
              <w:rPr>
                <w:kern w:val="0"/>
                <w:szCs w:val="21"/>
              </w:rPr>
              <w:t>2</w:t>
            </w:r>
            <w:r>
              <w:rPr>
                <w:rFonts w:hint="eastAsia"/>
                <w:kern w:val="0"/>
                <w:szCs w:val="21"/>
              </w:rPr>
              <w:t>位，四舍五入）</w:t>
            </w:r>
          </w:p>
        </w:tc>
      </w:tr>
      <w:tr w14:paraId="09CA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7" w:hRule="atLeast"/>
        </w:trPr>
        <w:tc>
          <w:tcPr>
            <w:tcW w:w="420" w:type="dxa"/>
            <w:vAlign w:val="center"/>
          </w:tcPr>
          <w:p w14:paraId="3761613C">
            <w:pPr>
              <w:jc w:val="center"/>
              <w:rPr>
                <w:rFonts w:hint="eastAsia" w:ascii="宋体" w:hAnsi="宋体"/>
                <w:szCs w:val="21"/>
              </w:rPr>
            </w:pPr>
            <w:r>
              <w:rPr>
                <w:rFonts w:hint="eastAsia" w:ascii="宋体" w:hAnsi="宋体"/>
                <w:szCs w:val="21"/>
              </w:rPr>
              <w:t>8</w:t>
            </w:r>
          </w:p>
        </w:tc>
        <w:tc>
          <w:tcPr>
            <w:tcW w:w="1549" w:type="dxa"/>
            <w:vAlign w:val="center"/>
          </w:tcPr>
          <w:p w14:paraId="2DDC1C94">
            <w:pPr>
              <w:jc w:val="center"/>
              <w:rPr>
                <w:rFonts w:hint="eastAsia" w:ascii="宋体" w:hAnsi="宋体"/>
                <w:szCs w:val="21"/>
              </w:rPr>
            </w:pPr>
            <w:r>
              <w:rPr>
                <w:rFonts w:hint="eastAsia" w:hAnsi="宋体"/>
              </w:rPr>
              <w:t>评分标准</w:t>
            </w:r>
          </w:p>
        </w:tc>
        <w:tc>
          <w:tcPr>
            <w:tcW w:w="6851" w:type="dxa"/>
            <w:gridSpan w:val="2"/>
            <w:vAlign w:val="center"/>
          </w:tcPr>
          <w:p w14:paraId="7041352D">
            <w:pPr>
              <w:spacing w:line="360" w:lineRule="auto"/>
              <w:rPr>
                <w:rFonts w:hint="eastAsia" w:ascii="宋体" w:hAnsi="宋体"/>
                <w:szCs w:val="21"/>
              </w:rPr>
            </w:pPr>
            <w:r>
              <w:rPr>
                <w:rFonts w:hint="eastAsia" w:ascii="宋体" w:hAnsi="宋体"/>
                <w:szCs w:val="21"/>
              </w:rPr>
              <w:t>（1）商务部分评分标准：详见详细评审标准</w:t>
            </w:r>
          </w:p>
          <w:p w14:paraId="10A1F045">
            <w:pPr>
              <w:pStyle w:val="15"/>
              <w:spacing w:line="360" w:lineRule="auto"/>
              <w:rPr>
                <w:rFonts w:hint="eastAsia" w:hAnsi="宋体"/>
              </w:rPr>
            </w:pPr>
            <w:r>
              <w:rPr>
                <w:rFonts w:hint="eastAsia" w:hAnsi="宋体"/>
              </w:rPr>
              <w:t>（2）技术部分评分标准：详见详细评审标准</w:t>
            </w:r>
          </w:p>
          <w:p w14:paraId="2F8B305A">
            <w:pPr>
              <w:pStyle w:val="15"/>
              <w:spacing w:line="360" w:lineRule="auto"/>
              <w:rPr>
                <w:rFonts w:hint="eastAsia" w:hAnsi="宋体"/>
              </w:rPr>
            </w:pPr>
            <w:r>
              <w:rPr>
                <w:rFonts w:hint="eastAsia" w:hAnsi="宋体"/>
              </w:rPr>
              <w:t>（3）报价部分评分标准：详见详细评审标准</w:t>
            </w:r>
          </w:p>
        </w:tc>
      </w:tr>
      <w:tr w14:paraId="0DA8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820" w:type="dxa"/>
            <w:gridSpan w:val="4"/>
            <w:vAlign w:val="center"/>
          </w:tcPr>
          <w:p w14:paraId="43AAE1E1">
            <w:pPr>
              <w:spacing w:line="360" w:lineRule="auto"/>
              <w:jc w:val="center"/>
              <w:rPr>
                <w:rFonts w:hint="eastAsia" w:ascii="宋体" w:hAnsi="宋体"/>
                <w:szCs w:val="21"/>
              </w:rPr>
            </w:pPr>
            <w:r>
              <w:rPr>
                <w:rFonts w:hint="eastAsia" w:cs="宋体"/>
                <w:b/>
                <w:szCs w:val="21"/>
              </w:rPr>
              <w:t>需要补充的其他内容</w:t>
            </w:r>
          </w:p>
        </w:tc>
      </w:tr>
      <w:tr w14:paraId="0BF8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420" w:type="dxa"/>
            <w:vAlign w:val="center"/>
          </w:tcPr>
          <w:p w14:paraId="0EFA9D00">
            <w:pPr>
              <w:jc w:val="center"/>
              <w:rPr>
                <w:rFonts w:hint="eastAsia" w:ascii="宋体" w:hAnsi="宋体"/>
                <w:szCs w:val="21"/>
              </w:rPr>
            </w:pPr>
            <w:r>
              <w:rPr>
                <w:rFonts w:hint="eastAsia" w:ascii="宋体" w:hAnsi="宋体"/>
                <w:szCs w:val="21"/>
              </w:rPr>
              <w:t>9</w:t>
            </w:r>
          </w:p>
        </w:tc>
        <w:tc>
          <w:tcPr>
            <w:tcW w:w="1549" w:type="dxa"/>
            <w:vAlign w:val="center"/>
          </w:tcPr>
          <w:p w14:paraId="3F65B06A">
            <w:pPr>
              <w:pStyle w:val="15"/>
              <w:spacing w:line="360" w:lineRule="auto"/>
              <w:jc w:val="center"/>
              <w:rPr>
                <w:rFonts w:hint="eastAsia" w:hAnsi="宋体"/>
              </w:rPr>
            </w:pPr>
            <w:r>
              <w:rPr>
                <w:rFonts w:hint="eastAsia" w:hAnsi="宋体"/>
              </w:rPr>
              <w:t>澄清和说明</w:t>
            </w:r>
          </w:p>
        </w:tc>
        <w:tc>
          <w:tcPr>
            <w:tcW w:w="6851" w:type="dxa"/>
            <w:gridSpan w:val="2"/>
            <w:vAlign w:val="center"/>
          </w:tcPr>
          <w:p w14:paraId="3B2D9AD0">
            <w:pPr>
              <w:pStyle w:val="15"/>
              <w:spacing w:line="360" w:lineRule="auto"/>
              <w:rPr>
                <w:rFonts w:hint="eastAsia" w:ascii="Times New Roman" w:hAnsi="宋体"/>
              </w:rPr>
            </w:pPr>
            <w:r>
              <w:rPr>
                <w:rFonts w:hint="eastAsia" w:ascii="Times New Roman" w:hAnsi="宋体"/>
              </w:rPr>
              <w:t>（1）比选申请人</w:t>
            </w:r>
            <w:r>
              <w:rPr>
                <w:rFonts w:ascii="Times New Roman" w:hAnsi="宋体"/>
              </w:rPr>
              <w:t>收到问题澄清通知后必须在规定时间内以书面（含传真）形式给予答复，</w:t>
            </w:r>
            <w:r>
              <w:rPr>
                <w:rFonts w:hint="eastAsia" w:ascii="Times New Roman" w:hAnsi="宋体"/>
              </w:rPr>
              <w:t>比选申请人</w:t>
            </w:r>
            <w:r>
              <w:rPr>
                <w:rFonts w:ascii="Times New Roman" w:hAnsi="宋体"/>
              </w:rPr>
              <w:t>的澄清必须加盖</w:t>
            </w:r>
            <w:r>
              <w:rPr>
                <w:rFonts w:hint="eastAsia" w:ascii="Times New Roman" w:hAnsi="宋体"/>
              </w:rPr>
              <w:t>比选申请人</w:t>
            </w:r>
            <w:r>
              <w:rPr>
                <w:rFonts w:ascii="Times New Roman" w:hAnsi="宋体"/>
              </w:rPr>
              <w:t>单位章或由法定代表人或其委托代理人签字；</w:t>
            </w:r>
          </w:p>
          <w:p w14:paraId="5F990244">
            <w:pPr>
              <w:pStyle w:val="15"/>
              <w:spacing w:line="360" w:lineRule="auto"/>
              <w:rPr>
                <w:rFonts w:hint="eastAsia" w:hAnsi="宋体"/>
              </w:rPr>
            </w:pPr>
            <w:r>
              <w:rPr>
                <w:rFonts w:hAnsi="宋体"/>
              </w:rPr>
              <w:t>（</w:t>
            </w:r>
            <w:r>
              <w:rPr>
                <w:rFonts w:hint="eastAsia" w:hAnsi="宋体"/>
              </w:rPr>
              <w:t>2）若未影响到中选候选人排序，则可不要求比选申请人澄清。</w:t>
            </w:r>
          </w:p>
        </w:tc>
      </w:tr>
    </w:tbl>
    <w:p w14:paraId="6250D1E4">
      <w:pPr>
        <w:pStyle w:val="14"/>
        <w:spacing w:after="0"/>
        <w:rPr>
          <w:sz w:val="20"/>
        </w:rPr>
      </w:pPr>
    </w:p>
    <w:p w14:paraId="5190F603">
      <w:pPr>
        <w:pStyle w:val="8"/>
        <w:tabs>
          <w:tab w:val="clear" w:pos="4710"/>
        </w:tabs>
        <w:spacing w:line="380" w:lineRule="exact"/>
        <w:ind w:firstLine="281" w:firstLineChars="100"/>
        <w:jc w:val="both"/>
        <w:rPr>
          <w:rFonts w:ascii="宋体"/>
          <w:bCs w:val="0"/>
          <w:sz w:val="28"/>
          <w:szCs w:val="28"/>
        </w:rPr>
      </w:pPr>
      <w:r>
        <w:rPr>
          <w:rFonts w:hint="eastAsia" w:ascii="黑体" w:hAnsi="宋体" w:eastAsia="黑体" w:cs="黑体"/>
          <w:bCs/>
          <w:spacing w:val="0"/>
          <w:sz w:val="28"/>
          <w:szCs w:val="28"/>
        </w:rPr>
        <w:t>A.商务部分</w:t>
      </w:r>
      <w:r>
        <w:rPr>
          <w:rFonts w:hint="eastAsia" w:ascii="宋体" w:hAnsi="宋体"/>
          <w:bCs w:val="0"/>
          <w:sz w:val="28"/>
          <w:szCs w:val="28"/>
        </w:rPr>
        <w:t>（满分20分）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37"/>
        <w:gridCol w:w="808"/>
        <w:gridCol w:w="1504"/>
        <w:gridCol w:w="763"/>
        <w:gridCol w:w="4614"/>
      </w:tblGrid>
      <w:tr w14:paraId="7F74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71" w:type="dxa"/>
            <w:vAlign w:val="center"/>
          </w:tcPr>
          <w:p w14:paraId="413AB74B">
            <w:pPr>
              <w:pStyle w:val="15"/>
              <w:spacing w:line="380" w:lineRule="exact"/>
              <w:jc w:val="center"/>
              <w:rPr>
                <w:rFonts w:hint="eastAsia" w:hAnsi="宋体" w:cs="Courier New"/>
              </w:rPr>
            </w:pPr>
            <w:r>
              <w:rPr>
                <w:rFonts w:hint="eastAsia" w:hAnsi="宋体" w:cs="Courier New"/>
              </w:rPr>
              <w:t>序号</w:t>
            </w:r>
          </w:p>
        </w:tc>
        <w:tc>
          <w:tcPr>
            <w:tcW w:w="737" w:type="dxa"/>
            <w:vAlign w:val="center"/>
          </w:tcPr>
          <w:p w14:paraId="049688CC">
            <w:pPr>
              <w:pStyle w:val="15"/>
              <w:spacing w:line="380" w:lineRule="exact"/>
              <w:jc w:val="center"/>
              <w:rPr>
                <w:rFonts w:hint="eastAsia" w:hAnsi="宋体" w:cs="Courier New"/>
              </w:rPr>
            </w:pPr>
            <w:r>
              <w:rPr>
                <w:rFonts w:hint="eastAsia" w:hAnsi="宋体" w:cs="Courier New"/>
              </w:rPr>
              <w:t>评审因素</w:t>
            </w:r>
          </w:p>
        </w:tc>
        <w:tc>
          <w:tcPr>
            <w:tcW w:w="808" w:type="dxa"/>
            <w:vAlign w:val="center"/>
          </w:tcPr>
          <w:p w14:paraId="1E0AB7B4">
            <w:pPr>
              <w:pStyle w:val="15"/>
              <w:spacing w:line="380" w:lineRule="exact"/>
              <w:jc w:val="center"/>
              <w:rPr>
                <w:rFonts w:hint="eastAsia" w:hAnsi="宋体" w:cs="Courier New"/>
              </w:rPr>
            </w:pPr>
            <w:r>
              <w:rPr>
                <w:rFonts w:hint="eastAsia" w:hAnsi="宋体" w:cs="Courier New"/>
              </w:rPr>
              <w:t>评审因素分值</w:t>
            </w:r>
          </w:p>
        </w:tc>
        <w:tc>
          <w:tcPr>
            <w:tcW w:w="1504" w:type="dxa"/>
            <w:vAlign w:val="center"/>
          </w:tcPr>
          <w:p w14:paraId="1C3633B5">
            <w:pPr>
              <w:pStyle w:val="15"/>
              <w:spacing w:line="380" w:lineRule="exact"/>
              <w:jc w:val="center"/>
              <w:rPr>
                <w:rFonts w:hint="eastAsia" w:hAnsi="宋体" w:cs="Courier New"/>
              </w:rPr>
            </w:pPr>
            <w:r>
              <w:rPr>
                <w:rFonts w:hint="eastAsia" w:hAnsi="宋体" w:cs="Courier New"/>
              </w:rPr>
              <w:t>各评审因素细分项</w:t>
            </w:r>
          </w:p>
        </w:tc>
        <w:tc>
          <w:tcPr>
            <w:tcW w:w="763" w:type="dxa"/>
            <w:vAlign w:val="center"/>
          </w:tcPr>
          <w:p w14:paraId="666A6CE3">
            <w:pPr>
              <w:pStyle w:val="15"/>
              <w:spacing w:line="380" w:lineRule="exact"/>
              <w:jc w:val="center"/>
              <w:rPr>
                <w:rFonts w:hint="eastAsia" w:hAnsi="宋体" w:cs="Courier New"/>
              </w:rPr>
            </w:pPr>
            <w:r>
              <w:rPr>
                <w:rFonts w:hint="eastAsia" w:hAnsi="宋体" w:cs="Courier New"/>
              </w:rPr>
              <w:t>分值</w:t>
            </w:r>
          </w:p>
        </w:tc>
        <w:tc>
          <w:tcPr>
            <w:tcW w:w="4614" w:type="dxa"/>
            <w:vAlign w:val="center"/>
          </w:tcPr>
          <w:p w14:paraId="1BE01AE8">
            <w:pPr>
              <w:pStyle w:val="15"/>
              <w:spacing w:line="380" w:lineRule="exact"/>
              <w:jc w:val="center"/>
              <w:rPr>
                <w:rFonts w:hint="eastAsia" w:hAnsi="宋体" w:cs="Courier New"/>
              </w:rPr>
            </w:pPr>
            <w:r>
              <w:rPr>
                <w:rFonts w:hint="eastAsia" w:hAnsi="宋体" w:cs="Courier New"/>
              </w:rPr>
              <w:t>评分标准</w:t>
            </w:r>
          </w:p>
        </w:tc>
      </w:tr>
      <w:tr w14:paraId="4D0A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71" w:type="dxa"/>
            <w:vAlign w:val="center"/>
          </w:tcPr>
          <w:p w14:paraId="449A193E">
            <w:pPr>
              <w:pStyle w:val="15"/>
              <w:spacing w:line="380" w:lineRule="exact"/>
              <w:jc w:val="center"/>
              <w:rPr>
                <w:rFonts w:hint="eastAsia" w:hAnsi="宋体" w:cs="Courier New"/>
              </w:rPr>
            </w:pPr>
            <w:r>
              <w:rPr>
                <w:rFonts w:hint="eastAsia" w:hAnsi="宋体" w:cs="Courier New"/>
              </w:rPr>
              <w:t>1</w:t>
            </w:r>
          </w:p>
        </w:tc>
        <w:tc>
          <w:tcPr>
            <w:tcW w:w="737" w:type="dxa"/>
            <w:vAlign w:val="center"/>
          </w:tcPr>
          <w:p w14:paraId="66C730D2">
            <w:pPr>
              <w:pStyle w:val="15"/>
              <w:spacing w:line="380" w:lineRule="exact"/>
              <w:jc w:val="center"/>
              <w:rPr>
                <w:rFonts w:hint="eastAsia" w:hAnsi="宋体" w:cs="Courier New"/>
              </w:rPr>
            </w:pPr>
          </w:p>
          <w:p w14:paraId="02A8C534">
            <w:pPr>
              <w:pStyle w:val="15"/>
              <w:spacing w:line="380" w:lineRule="exact"/>
              <w:jc w:val="center"/>
              <w:rPr>
                <w:rFonts w:hint="eastAsia" w:hAnsi="宋体" w:cs="Courier New"/>
              </w:rPr>
            </w:pPr>
            <w:r>
              <w:rPr>
                <w:rFonts w:hint="eastAsia" w:hAnsi="宋体" w:cs="Courier New"/>
              </w:rPr>
              <w:t>商务部分</w:t>
            </w:r>
          </w:p>
          <w:p w14:paraId="1FA2185C">
            <w:pPr>
              <w:pStyle w:val="15"/>
              <w:spacing w:line="380" w:lineRule="exact"/>
              <w:jc w:val="center"/>
              <w:rPr>
                <w:rFonts w:hint="eastAsia" w:hAnsi="宋体" w:cs="Courier New"/>
              </w:rPr>
            </w:pPr>
          </w:p>
        </w:tc>
        <w:tc>
          <w:tcPr>
            <w:tcW w:w="808" w:type="dxa"/>
            <w:vAlign w:val="center"/>
          </w:tcPr>
          <w:p w14:paraId="288D4B4E">
            <w:pPr>
              <w:pStyle w:val="15"/>
              <w:spacing w:line="380" w:lineRule="exact"/>
              <w:jc w:val="center"/>
              <w:rPr>
                <w:rFonts w:hint="eastAsia" w:hAnsi="宋体" w:cs="Courier New"/>
              </w:rPr>
            </w:pPr>
            <w:r>
              <w:rPr>
                <w:rFonts w:hint="eastAsia" w:hAnsi="宋体" w:cs="Courier New"/>
              </w:rPr>
              <w:t>20分</w:t>
            </w:r>
          </w:p>
        </w:tc>
        <w:tc>
          <w:tcPr>
            <w:tcW w:w="1504" w:type="dxa"/>
            <w:vAlign w:val="center"/>
          </w:tcPr>
          <w:p w14:paraId="4F8EBD8F">
            <w:pPr>
              <w:pStyle w:val="15"/>
              <w:spacing w:line="380" w:lineRule="exact"/>
              <w:jc w:val="center"/>
              <w:rPr>
                <w:rFonts w:hint="eastAsia" w:hAnsi="宋体" w:cs="Courier New"/>
              </w:rPr>
            </w:pPr>
            <w:r>
              <w:rPr>
                <w:rFonts w:hint="eastAsia" w:hAnsi="宋体" w:cs="Courier New"/>
              </w:rPr>
              <w:t>类似业绩</w:t>
            </w:r>
          </w:p>
        </w:tc>
        <w:tc>
          <w:tcPr>
            <w:tcW w:w="763" w:type="dxa"/>
            <w:vAlign w:val="center"/>
          </w:tcPr>
          <w:p w14:paraId="320B0911">
            <w:pPr>
              <w:pStyle w:val="15"/>
              <w:spacing w:line="380" w:lineRule="exact"/>
              <w:jc w:val="center"/>
              <w:rPr>
                <w:rFonts w:ascii="Times New Roman" w:hAnsi="Times New Roman"/>
                <w:szCs w:val="24"/>
              </w:rPr>
            </w:pPr>
            <w:r>
              <w:rPr>
                <w:rFonts w:hint="default" w:ascii="Times New Roman" w:hAnsi="Times New Roman"/>
                <w:szCs w:val="24"/>
                <w:lang w:val="en-US" w:eastAsia="zh-CN"/>
              </w:rPr>
              <w:t>20</w:t>
            </w:r>
            <w:r>
              <w:rPr>
                <w:rFonts w:hint="eastAsia" w:ascii="Times New Roman" w:hAnsi="Times New Roman"/>
                <w:szCs w:val="24"/>
              </w:rPr>
              <w:t>分</w:t>
            </w:r>
          </w:p>
        </w:tc>
        <w:tc>
          <w:tcPr>
            <w:tcW w:w="4614" w:type="dxa"/>
            <w:vAlign w:val="center"/>
          </w:tcPr>
          <w:p w14:paraId="6C679D27">
            <w:pPr>
              <w:pStyle w:val="15"/>
              <w:numPr>
                <w:ilvl w:val="255"/>
                <w:numId w:val="0"/>
              </w:numPr>
              <w:spacing w:line="380" w:lineRule="exact"/>
              <w:rPr>
                <w:rFonts w:hint="eastAsia" w:hAnsi="宋体" w:cs="Courier New"/>
              </w:rPr>
            </w:pPr>
            <w:r>
              <w:rPr>
                <w:rFonts w:hint="eastAsia" w:hAnsi="宋体" w:cs="Courier New"/>
                <w:lang w:val="en-US" w:eastAsia="zh-CN"/>
              </w:rPr>
              <w:t>满足</w:t>
            </w:r>
            <w:r>
              <w:rPr>
                <w:rFonts w:hint="eastAsia" w:hAnsi="宋体" w:cs="Courier New"/>
              </w:rPr>
              <w:t>资格审查</w:t>
            </w:r>
            <w:r>
              <w:rPr>
                <w:rFonts w:hint="eastAsia" w:hAnsi="宋体" w:cs="Courier New"/>
                <w:lang w:val="en-US" w:eastAsia="zh-CN"/>
              </w:rPr>
              <w:t>业绩要求得12分，除满足资格审查</w:t>
            </w:r>
            <w:r>
              <w:rPr>
                <w:rFonts w:hint="eastAsia" w:hAnsi="宋体" w:cs="Courier New"/>
              </w:rPr>
              <w:t>业绩</w:t>
            </w:r>
            <w:r>
              <w:rPr>
                <w:rFonts w:hint="eastAsia" w:hAnsi="宋体" w:cs="Courier New"/>
                <w:lang w:val="en-US" w:eastAsia="zh-CN"/>
              </w:rPr>
              <w:t>要求</w:t>
            </w:r>
            <w:r>
              <w:rPr>
                <w:rFonts w:hint="eastAsia" w:hAnsi="宋体" w:cs="Courier New"/>
              </w:rPr>
              <w:t>外，近三年（202</w:t>
            </w:r>
            <w:r>
              <w:rPr>
                <w:rFonts w:hint="eastAsia" w:hAnsi="宋体" w:cs="Courier New"/>
                <w:lang w:val="en-US" w:eastAsia="zh-CN"/>
              </w:rPr>
              <w:t>2</w:t>
            </w:r>
            <w:r>
              <w:rPr>
                <w:rFonts w:hint="eastAsia" w:hAnsi="宋体" w:cs="Courier New"/>
              </w:rPr>
              <w:t>年1月1日起至比选申请文件递交截止日）比选申请人全部类似业绩合同实际销售的充电设备的额定功率数累计每达到960KW加</w:t>
            </w:r>
            <w:r>
              <w:rPr>
                <w:rFonts w:hint="eastAsia" w:hAnsi="宋体" w:cs="Courier New"/>
                <w:lang w:val="en-US" w:eastAsia="zh-CN"/>
              </w:rPr>
              <w:t>2</w:t>
            </w:r>
            <w:r>
              <w:rPr>
                <w:rFonts w:hint="eastAsia" w:hAnsi="宋体" w:cs="Courier New"/>
              </w:rPr>
              <w:t>分，本小项最多</w:t>
            </w:r>
            <w:r>
              <w:rPr>
                <w:rFonts w:hint="eastAsia" w:hAnsi="宋体" w:cs="Courier New"/>
                <w:lang w:val="en-US" w:eastAsia="zh-CN"/>
              </w:rPr>
              <w:t>得20</w:t>
            </w:r>
            <w:r>
              <w:rPr>
                <w:rFonts w:hint="eastAsia" w:hAnsi="宋体" w:cs="Courier New"/>
              </w:rPr>
              <w:t>分，实际销售的充电设备数量按查验通过的发票上载明的数量据实计算，合同或发票须能反映充电设备的额定功率。</w:t>
            </w:r>
          </w:p>
          <w:p w14:paraId="77954150">
            <w:pPr>
              <w:pStyle w:val="15"/>
              <w:numPr>
                <w:ilvl w:val="255"/>
                <w:numId w:val="0"/>
              </w:numPr>
              <w:spacing w:line="380" w:lineRule="exact"/>
              <w:jc w:val="left"/>
              <w:rPr>
                <w:rFonts w:hint="eastAsia" w:hAnsi="宋体" w:cs="Courier New"/>
                <w:lang w:bidi="ar"/>
              </w:rPr>
            </w:pPr>
            <w:r>
              <w:rPr>
                <w:rFonts w:hint="eastAsia" w:hAnsi="宋体" w:cs="Courier New"/>
                <w:lang w:bidi="ar"/>
              </w:rPr>
              <w:t>注：</w:t>
            </w:r>
          </w:p>
          <w:p w14:paraId="33F79D0A">
            <w:pPr>
              <w:pStyle w:val="15"/>
              <w:numPr>
                <w:ilvl w:val="0"/>
                <w:numId w:val="8"/>
              </w:numPr>
              <w:spacing w:line="380" w:lineRule="exact"/>
              <w:jc w:val="left"/>
              <w:rPr>
                <w:rFonts w:hint="eastAsia" w:hAnsi="宋体" w:cs="Courier New"/>
                <w:lang w:bidi="ar"/>
              </w:rPr>
            </w:pPr>
            <w:r>
              <w:rPr>
                <w:rFonts w:hint="eastAsia" w:hAnsi="宋体" w:cs="Courier New"/>
                <w:lang w:bidi="ar"/>
              </w:rPr>
              <w:t>以上业绩须提供合同关键页复印件（包含签署页、盖章页），合同关键页须能够清楚反映业绩的设备名称、数量和签订时间。</w:t>
            </w:r>
          </w:p>
          <w:p w14:paraId="3D504F97">
            <w:pPr>
              <w:pStyle w:val="15"/>
              <w:numPr>
                <w:ilvl w:val="0"/>
                <w:numId w:val="8"/>
              </w:numPr>
              <w:spacing w:line="380" w:lineRule="exact"/>
              <w:jc w:val="left"/>
              <w:rPr>
                <w:rFonts w:hint="eastAsia" w:hAnsi="宋体" w:cs="Courier New"/>
              </w:rPr>
            </w:pPr>
            <w:r>
              <w:rPr>
                <w:rFonts w:hint="eastAsia" w:hAnsi="宋体" w:cs="Courier New"/>
                <w:lang w:bidi="ar"/>
              </w:rPr>
              <w:t>以上业绩须提供</w:t>
            </w:r>
            <w:r>
              <w:rPr>
                <w:rFonts w:hint="eastAsia" w:hAnsi="宋体" w:cs="Courier New"/>
              </w:rPr>
              <w:t>实际销售的充电设备的</w:t>
            </w:r>
            <w:r>
              <w:rPr>
                <w:rFonts w:hint="eastAsia" w:hAnsi="宋体" w:cs="Courier New"/>
                <w:lang w:bidi="ar"/>
              </w:rPr>
              <w:t>发票复印件以及该部分发票的网络查验截图（发票查验平台：全国增值税发票查验平台，网址： （https://inv-veri.chinatax.gov.cn/）。</w:t>
            </w:r>
          </w:p>
        </w:tc>
      </w:tr>
    </w:tbl>
    <w:p w14:paraId="45079680">
      <w:pPr>
        <w:ind w:firstLineChars="100"/>
        <w:rPr>
          <w:rFonts w:hint="eastAsia" w:ascii="黑体" w:hAnsi="宋体" w:eastAsia="黑体" w:cs="黑体"/>
          <w:b/>
          <w:bCs/>
          <w:spacing w:val="0"/>
          <w:kern w:val="0"/>
          <w:sz w:val="28"/>
          <w:szCs w:val="28"/>
        </w:rPr>
      </w:pPr>
      <w:r>
        <w:rPr>
          <w:rFonts w:hint="eastAsia" w:ascii="黑体" w:hAnsi="宋体" w:eastAsia="黑体" w:cs="黑体"/>
          <w:b/>
          <w:bCs/>
          <w:spacing w:val="0"/>
          <w:kern w:val="0"/>
          <w:sz w:val="28"/>
          <w:szCs w:val="28"/>
        </w:rPr>
        <w:br w:type="page"/>
      </w:r>
    </w:p>
    <w:p w14:paraId="78C72ED2">
      <w:pPr>
        <w:pStyle w:val="15"/>
        <w:ind w:firstLine="281" w:firstLineChars="100"/>
        <w:rPr>
          <w:rFonts w:hint="eastAsia" w:hAnsi="宋体"/>
          <w:b/>
          <w:spacing w:val="-2"/>
          <w:kern w:val="0"/>
          <w:sz w:val="28"/>
          <w:szCs w:val="28"/>
        </w:rPr>
      </w:pPr>
      <w:r>
        <w:rPr>
          <w:rFonts w:hint="eastAsia" w:ascii="黑体" w:hAnsi="宋体" w:eastAsia="黑体" w:cs="黑体"/>
          <w:b/>
          <w:bCs/>
          <w:spacing w:val="0"/>
          <w:kern w:val="0"/>
          <w:sz w:val="28"/>
          <w:szCs w:val="28"/>
        </w:rPr>
        <w:t>B.技术部分</w:t>
      </w:r>
      <w:r>
        <w:rPr>
          <w:rFonts w:hint="eastAsia" w:hAnsi="宋体"/>
          <w:b/>
          <w:spacing w:val="-2"/>
          <w:kern w:val="0"/>
          <w:sz w:val="28"/>
          <w:szCs w:val="28"/>
        </w:rPr>
        <w:t>（满分30分）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731"/>
        <w:gridCol w:w="825"/>
        <w:gridCol w:w="1417"/>
        <w:gridCol w:w="837"/>
        <w:gridCol w:w="4633"/>
      </w:tblGrid>
      <w:tr w14:paraId="3BF9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jc w:val="center"/>
        </w:trPr>
        <w:tc>
          <w:tcPr>
            <w:tcW w:w="588" w:type="dxa"/>
            <w:vAlign w:val="center"/>
          </w:tcPr>
          <w:p w14:paraId="0C5C2E0C">
            <w:pPr>
              <w:pStyle w:val="15"/>
              <w:spacing w:line="380" w:lineRule="exact"/>
              <w:jc w:val="center"/>
              <w:rPr>
                <w:rFonts w:hint="eastAsia" w:hAnsi="宋体" w:cs="Courier New"/>
              </w:rPr>
            </w:pPr>
            <w:r>
              <w:rPr>
                <w:rFonts w:hint="eastAsia" w:hAnsi="宋体" w:cs="Courier New"/>
              </w:rPr>
              <w:t>序号</w:t>
            </w:r>
          </w:p>
        </w:tc>
        <w:tc>
          <w:tcPr>
            <w:tcW w:w="731" w:type="dxa"/>
            <w:vAlign w:val="center"/>
          </w:tcPr>
          <w:p w14:paraId="475F2A4C">
            <w:pPr>
              <w:pStyle w:val="15"/>
              <w:spacing w:line="380" w:lineRule="exact"/>
              <w:jc w:val="center"/>
              <w:rPr>
                <w:rFonts w:hint="eastAsia" w:hAnsi="宋体" w:cs="Courier New"/>
              </w:rPr>
            </w:pPr>
            <w:r>
              <w:rPr>
                <w:rFonts w:hint="eastAsia" w:hAnsi="宋体" w:cs="Courier New"/>
              </w:rPr>
              <w:t>评审因素</w:t>
            </w:r>
          </w:p>
        </w:tc>
        <w:tc>
          <w:tcPr>
            <w:tcW w:w="825" w:type="dxa"/>
            <w:vAlign w:val="center"/>
          </w:tcPr>
          <w:p w14:paraId="28E67855">
            <w:pPr>
              <w:pStyle w:val="15"/>
              <w:jc w:val="center"/>
              <w:rPr>
                <w:rFonts w:hint="eastAsia" w:hAnsi="宋体" w:cs="Courier New"/>
              </w:rPr>
            </w:pPr>
            <w:r>
              <w:rPr>
                <w:rFonts w:hint="eastAsia" w:hAnsi="宋体" w:cs="Courier New"/>
              </w:rPr>
              <w:t>评审因素分值</w:t>
            </w:r>
          </w:p>
        </w:tc>
        <w:tc>
          <w:tcPr>
            <w:tcW w:w="1417" w:type="dxa"/>
            <w:vAlign w:val="center"/>
          </w:tcPr>
          <w:p w14:paraId="2CA31CBD">
            <w:pPr>
              <w:pStyle w:val="15"/>
              <w:spacing w:line="380" w:lineRule="exact"/>
              <w:jc w:val="center"/>
              <w:rPr>
                <w:rFonts w:hint="eastAsia" w:hAnsi="宋体" w:cs="Courier New"/>
              </w:rPr>
            </w:pPr>
            <w:r>
              <w:rPr>
                <w:rFonts w:hint="eastAsia" w:hAnsi="宋体" w:cs="Courier New"/>
              </w:rPr>
              <w:t>各评审因素细分项</w:t>
            </w:r>
          </w:p>
        </w:tc>
        <w:tc>
          <w:tcPr>
            <w:tcW w:w="837" w:type="dxa"/>
            <w:vAlign w:val="center"/>
          </w:tcPr>
          <w:p w14:paraId="0892398F">
            <w:pPr>
              <w:pStyle w:val="15"/>
              <w:spacing w:line="380" w:lineRule="exact"/>
              <w:jc w:val="center"/>
              <w:rPr>
                <w:rFonts w:hint="eastAsia" w:hAnsi="宋体" w:cs="Courier New"/>
              </w:rPr>
            </w:pPr>
            <w:r>
              <w:rPr>
                <w:rFonts w:hint="eastAsia" w:hAnsi="宋体" w:cs="Courier New"/>
              </w:rPr>
              <w:t>分值</w:t>
            </w:r>
          </w:p>
        </w:tc>
        <w:tc>
          <w:tcPr>
            <w:tcW w:w="4633" w:type="dxa"/>
            <w:vAlign w:val="center"/>
          </w:tcPr>
          <w:p w14:paraId="6CB6CD95">
            <w:pPr>
              <w:pStyle w:val="15"/>
              <w:spacing w:line="380" w:lineRule="exact"/>
              <w:jc w:val="center"/>
              <w:rPr>
                <w:rFonts w:hint="eastAsia" w:hAnsi="宋体" w:cs="Courier New"/>
              </w:rPr>
            </w:pPr>
            <w:r>
              <w:rPr>
                <w:rFonts w:hint="eastAsia" w:hAnsi="宋体" w:cs="Courier New"/>
              </w:rPr>
              <w:t>评分标准</w:t>
            </w:r>
          </w:p>
        </w:tc>
      </w:tr>
      <w:tr w14:paraId="473E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88" w:type="dxa"/>
            <w:vMerge w:val="restart"/>
            <w:vAlign w:val="center"/>
          </w:tcPr>
          <w:p w14:paraId="758F925B">
            <w:pPr>
              <w:pStyle w:val="15"/>
              <w:spacing w:line="380" w:lineRule="exact"/>
              <w:jc w:val="center"/>
              <w:rPr>
                <w:rFonts w:hint="eastAsia" w:hAnsi="宋体" w:cs="Courier New"/>
              </w:rPr>
            </w:pPr>
            <w:r>
              <w:rPr>
                <w:rFonts w:hint="eastAsia" w:hAnsi="宋体" w:cs="Courier New"/>
              </w:rPr>
              <w:t>1</w:t>
            </w:r>
          </w:p>
        </w:tc>
        <w:tc>
          <w:tcPr>
            <w:tcW w:w="731" w:type="dxa"/>
            <w:vMerge w:val="restart"/>
            <w:vAlign w:val="center"/>
          </w:tcPr>
          <w:p w14:paraId="1FEE9BCE">
            <w:pPr>
              <w:pStyle w:val="15"/>
              <w:spacing w:line="380" w:lineRule="exact"/>
              <w:jc w:val="center"/>
              <w:rPr>
                <w:rFonts w:hint="eastAsia" w:hAnsi="宋体" w:cs="Courier New"/>
              </w:rPr>
            </w:pPr>
            <w:r>
              <w:rPr>
                <w:rFonts w:hint="eastAsia" w:hAnsi="宋体" w:cs="Courier New"/>
              </w:rPr>
              <w:t>技术部分</w:t>
            </w:r>
          </w:p>
        </w:tc>
        <w:tc>
          <w:tcPr>
            <w:tcW w:w="825" w:type="dxa"/>
            <w:vMerge w:val="restart"/>
            <w:vAlign w:val="center"/>
          </w:tcPr>
          <w:p w14:paraId="1FDBF34C">
            <w:pPr>
              <w:pStyle w:val="15"/>
              <w:spacing w:line="380" w:lineRule="exact"/>
              <w:jc w:val="center"/>
              <w:rPr>
                <w:rFonts w:hint="eastAsia" w:hAnsi="宋体" w:cs="Courier New"/>
              </w:rPr>
            </w:pPr>
            <w:r>
              <w:rPr>
                <w:rFonts w:hint="eastAsia" w:hAnsi="宋体" w:cs="Courier New"/>
              </w:rPr>
              <w:t>30分</w:t>
            </w:r>
          </w:p>
        </w:tc>
        <w:tc>
          <w:tcPr>
            <w:tcW w:w="1417" w:type="dxa"/>
            <w:vAlign w:val="center"/>
          </w:tcPr>
          <w:p w14:paraId="54116CB2">
            <w:pPr>
              <w:pStyle w:val="15"/>
              <w:spacing w:line="380" w:lineRule="exact"/>
              <w:jc w:val="center"/>
            </w:pPr>
            <w:r>
              <w:rPr>
                <w:rFonts w:hint="eastAsia" w:ascii="Times New Roman" w:hAnsi="Times New Roman"/>
                <w:color w:val="000000"/>
              </w:rPr>
              <w:t>技术方案</w:t>
            </w:r>
          </w:p>
        </w:tc>
        <w:tc>
          <w:tcPr>
            <w:tcW w:w="837" w:type="dxa"/>
            <w:vAlign w:val="center"/>
          </w:tcPr>
          <w:p w14:paraId="3B83CA72">
            <w:pPr>
              <w:pStyle w:val="15"/>
              <w:spacing w:line="380" w:lineRule="exact"/>
              <w:jc w:val="center"/>
              <w:rPr>
                <w:rFonts w:hint="eastAsia" w:hAnsi="宋体" w:cs="Courier New"/>
              </w:rPr>
            </w:pPr>
            <w:r>
              <w:rPr>
                <w:rFonts w:hint="eastAsia" w:hAnsi="宋体" w:cs="Courier New"/>
                <w:color w:val="000000"/>
                <w:lang w:val="en-US" w:eastAsia="zh-CN"/>
              </w:rPr>
              <w:t>15</w:t>
            </w:r>
            <w:r>
              <w:rPr>
                <w:rFonts w:hint="eastAsia" w:hAnsi="宋体" w:cs="Courier New"/>
                <w:color w:val="000000"/>
              </w:rPr>
              <w:t>分</w:t>
            </w:r>
          </w:p>
        </w:tc>
        <w:tc>
          <w:tcPr>
            <w:tcW w:w="4633" w:type="dxa"/>
            <w:vAlign w:val="center"/>
          </w:tcPr>
          <w:p w14:paraId="49FA52D4">
            <w:pPr>
              <w:pStyle w:val="15"/>
              <w:spacing w:line="380" w:lineRule="exact"/>
              <w:rPr>
                <w:rFonts w:hint="eastAsia" w:hAnsi="宋体" w:cs="Courier New"/>
              </w:rPr>
            </w:pPr>
            <w:r>
              <w:rPr>
                <w:rFonts w:hint="eastAsia" w:hAnsi="宋体" w:cs="Courier New"/>
              </w:rPr>
              <w:t>技术方案应包含以下3个细项方案：</w:t>
            </w:r>
          </w:p>
          <w:p w14:paraId="23485992">
            <w:pPr>
              <w:pStyle w:val="15"/>
              <w:spacing w:line="380" w:lineRule="exact"/>
              <w:rPr>
                <w:rFonts w:hint="eastAsia" w:hAnsi="宋体" w:cs="Courier New"/>
              </w:rPr>
            </w:pPr>
            <w:r>
              <w:rPr>
                <w:rFonts w:hint="eastAsia" w:hAnsi="宋体" w:cs="Courier New"/>
              </w:rPr>
              <w:t>1.供货与调试方案（</w:t>
            </w:r>
            <w:r>
              <w:rPr>
                <w:rFonts w:hint="eastAsia" w:hAnsi="宋体" w:cs="Courier New"/>
                <w:lang w:val="en-US" w:eastAsia="zh-CN"/>
              </w:rPr>
              <w:t>5</w:t>
            </w:r>
            <w:r>
              <w:rPr>
                <w:rFonts w:hint="eastAsia" w:hAnsi="宋体" w:cs="Courier New"/>
              </w:rPr>
              <w:t>分）；</w:t>
            </w:r>
          </w:p>
          <w:p w14:paraId="29A1059D">
            <w:pPr>
              <w:pStyle w:val="15"/>
              <w:spacing w:line="380" w:lineRule="exact"/>
              <w:rPr>
                <w:rFonts w:hint="eastAsia" w:hAnsi="宋体" w:cs="Courier New"/>
              </w:rPr>
            </w:pPr>
            <w:r>
              <w:rPr>
                <w:rFonts w:hint="eastAsia" w:hAnsi="宋体" w:cs="Courier New"/>
              </w:rPr>
              <w:t>2.售后服务方案（</w:t>
            </w:r>
            <w:r>
              <w:rPr>
                <w:rFonts w:hint="eastAsia" w:hAnsi="宋体" w:cs="Courier New"/>
                <w:lang w:val="en-US" w:eastAsia="zh-CN"/>
              </w:rPr>
              <w:t>5</w:t>
            </w:r>
            <w:r>
              <w:rPr>
                <w:rFonts w:hint="eastAsia" w:hAnsi="宋体" w:cs="Courier New"/>
              </w:rPr>
              <w:t>分）；</w:t>
            </w:r>
          </w:p>
          <w:p w14:paraId="21612E21">
            <w:pPr>
              <w:pStyle w:val="15"/>
              <w:spacing w:line="380" w:lineRule="exact"/>
              <w:rPr>
                <w:rFonts w:hint="eastAsia" w:hAnsi="宋体" w:cs="Courier New"/>
              </w:rPr>
            </w:pPr>
            <w:r>
              <w:rPr>
                <w:rFonts w:hint="eastAsia" w:hAnsi="宋体" w:cs="Courier New"/>
              </w:rPr>
              <w:t>3.安全管理方案（</w:t>
            </w:r>
            <w:r>
              <w:rPr>
                <w:rFonts w:hint="eastAsia" w:hAnsi="宋体" w:cs="Courier New"/>
                <w:lang w:val="en-US" w:eastAsia="zh-CN"/>
              </w:rPr>
              <w:t>5</w:t>
            </w:r>
            <w:r>
              <w:rPr>
                <w:rFonts w:hint="eastAsia" w:hAnsi="宋体" w:cs="Courier New"/>
              </w:rPr>
              <w:t>分）。</w:t>
            </w:r>
          </w:p>
          <w:p w14:paraId="28337684">
            <w:pPr>
              <w:pStyle w:val="15"/>
              <w:spacing w:line="380" w:lineRule="exact"/>
              <w:rPr>
                <w:rFonts w:hint="eastAsia" w:hAnsi="宋体" w:cs="Courier New"/>
              </w:rPr>
            </w:pPr>
            <w:r>
              <w:rPr>
                <w:rFonts w:hint="eastAsia" w:hAnsi="宋体" w:cs="Courier New"/>
              </w:rPr>
              <w:t>上述3个细项方案，单个细项方案表述详细、有针对性，合理可行，可操作性强，得</w:t>
            </w:r>
            <w:r>
              <w:rPr>
                <w:rFonts w:hint="eastAsia" w:hAnsi="宋体" w:cs="Courier New"/>
                <w:lang w:val="en-US" w:eastAsia="zh-CN"/>
              </w:rPr>
              <w:t>4.0（含）</w:t>
            </w:r>
            <w:r>
              <w:rPr>
                <w:rFonts w:hint="eastAsia" w:hAnsi="宋体" w:cs="Courier New"/>
              </w:rPr>
              <w:t>～</w:t>
            </w:r>
            <w:r>
              <w:rPr>
                <w:rFonts w:hint="eastAsia" w:hAnsi="宋体" w:cs="Courier New"/>
                <w:lang w:val="en-US" w:eastAsia="zh-CN"/>
              </w:rPr>
              <w:t>5（含）</w:t>
            </w:r>
            <w:r>
              <w:rPr>
                <w:rFonts w:hint="eastAsia" w:hAnsi="宋体" w:cs="Courier New"/>
              </w:rPr>
              <w:t>分；</w:t>
            </w:r>
          </w:p>
          <w:p w14:paraId="59566737">
            <w:pPr>
              <w:pStyle w:val="15"/>
              <w:spacing w:line="380" w:lineRule="exact"/>
              <w:rPr>
                <w:rFonts w:hint="eastAsia" w:hAnsi="宋体" w:cs="Courier New"/>
              </w:rPr>
            </w:pPr>
            <w:r>
              <w:rPr>
                <w:rFonts w:hint="eastAsia" w:hAnsi="宋体" w:cs="Courier New"/>
              </w:rPr>
              <w:t>上述3个细项方案，单个细项方案表述一般，可行性一般，可操作性一般，得</w:t>
            </w:r>
            <w:r>
              <w:rPr>
                <w:rFonts w:hint="eastAsia" w:hAnsi="宋体" w:cs="Courier New"/>
                <w:lang w:val="en-US" w:eastAsia="zh-CN"/>
              </w:rPr>
              <w:t>3.5（含）</w:t>
            </w:r>
            <w:r>
              <w:rPr>
                <w:rFonts w:hint="eastAsia" w:hAnsi="宋体" w:cs="Courier New"/>
              </w:rPr>
              <w:t>～</w:t>
            </w:r>
            <w:r>
              <w:rPr>
                <w:rFonts w:hint="eastAsia" w:hAnsi="宋体" w:cs="Courier New"/>
                <w:lang w:val="en-US" w:eastAsia="zh-CN"/>
              </w:rPr>
              <w:t>4.0（不含）</w:t>
            </w:r>
            <w:r>
              <w:rPr>
                <w:rFonts w:hint="eastAsia" w:hAnsi="宋体" w:cs="Courier New"/>
              </w:rPr>
              <w:t>分；</w:t>
            </w:r>
          </w:p>
          <w:p w14:paraId="62C28AD6">
            <w:pPr>
              <w:pStyle w:val="15"/>
              <w:spacing w:line="380" w:lineRule="exact"/>
              <w:rPr>
                <w:rFonts w:hint="eastAsia" w:hAnsi="宋体" w:cs="Courier New"/>
              </w:rPr>
            </w:pPr>
            <w:r>
              <w:rPr>
                <w:rFonts w:hint="eastAsia" w:hAnsi="宋体" w:cs="Courier New"/>
              </w:rPr>
              <w:t>上述3个细项方案，单个细项表述不详细、无针对性、可操作性差，得</w:t>
            </w:r>
            <w:r>
              <w:rPr>
                <w:rFonts w:hint="eastAsia" w:hAnsi="宋体" w:cs="Courier New"/>
                <w:lang w:val="en-US" w:eastAsia="zh-CN"/>
              </w:rPr>
              <w:t>3.0（含）</w:t>
            </w:r>
            <w:r>
              <w:rPr>
                <w:rFonts w:hint="eastAsia" w:hAnsi="宋体" w:cs="Courier New"/>
              </w:rPr>
              <w:t>～</w:t>
            </w:r>
            <w:r>
              <w:rPr>
                <w:rFonts w:hint="eastAsia" w:hAnsi="宋体" w:cs="Courier New"/>
                <w:lang w:val="en-US" w:eastAsia="zh-CN"/>
              </w:rPr>
              <w:t>3.5（不含）</w:t>
            </w:r>
            <w:r>
              <w:rPr>
                <w:rFonts w:hint="eastAsia" w:hAnsi="宋体" w:cs="Courier New"/>
              </w:rPr>
              <w:t>分；</w:t>
            </w:r>
          </w:p>
          <w:p w14:paraId="5C55161F">
            <w:pPr>
              <w:pStyle w:val="15"/>
              <w:spacing w:line="380" w:lineRule="exact"/>
              <w:rPr>
                <w:rFonts w:hint="eastAsia" w:hAnsi="宋体" w:cs="Courier New"/>
              </w:rPr>
            </w:pPr>
            <w:r>
              <w:rPr>
                <w:rFonts w:hint="eastAsia" w:hAnsi="宋体" w:cs="Courier New"/>
              </w:rPr>
              <w:t>每有1个细项方案未提供，该细项方案得0分。</w:t>
            </w:r>
          </w:p>
        </w:tc>
      </w:tr>
      <w:tr w14:paraId="6F9F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88" w:type="dxa"/>
            <w:vMerge w:val="continue"/>
            <w:vAlign w:val="center"/>
          </w:tcPr>
          <w:p w14:paraId="46295F66">
            <w:pPr>
              <w:pStyle w:val="15"/>
              <w:spacing w:line="380" w:lineRule="exact"/>
              <w:jc w:val="center"/>
              <w:rPr>
                <w:rFonts w:hint="eastAsia" w:hAnsi="宋体" w:cs="Courier New"/>
              </w:rPr>
            </w:pPr>
          </w:p>
        </w:tc>
        <w:tc>
          <w:tcPr>
            <w:tcW w:w="731" w:type="dxa"/>
            <w:vMerge w:val="continue"/>
            <w:vAlign w:val="center"/>
          </w:tcPr>
          <w:p w14:paraId="3C3D9EA0">
            <w:pPr>
              <w:pStyle w:val="15"/>
              <w:spacing w:line="380" w:lineRule="exact"/>
              <w:jc w:val="center"/>
              <w:rPr>
                <w:rFonts w:hint="eastAsia" w:hAnsi="宋体" w:cs="Courier New"/>
              </w:rPr>
            </w:pPr>
          </w:p>
        </w:tc>
        <w:tc>
          <w:tcPr>
            <w:tcW w:w="825" w:type="dxa"/>
            <w:vMerge w:val="continue"/>
            <w:vAlign w:val="center"/>
          </w:tcPr>
          <w:p w14:paraId="22FB4069">
            <w:pPr>
              <w:pStyle w:val="15"/>
              <w:spacing w:line="380" w:lineRule="exact"/>
              <w:jc w:val="center"/>
              <w:rPr>
                <w:rFonts w:hint="eastAsia" w:hAnsi="宋体" w:cs="Courier New"/>
              </w:rPr>
            </w:pPr>
          </w:p>
        </w:tc>
        <w:tc>
          <w:tcPr>
            <w:tcW w:w="1417" w:type="dxa"/>
            <w:vAlign w:val="center"/>
          </w:tcPr>
          <w:p w14:paraId="1BE2BF48">
            <w:pPr>
              <w:widowControl/>
              <w:jc w:val="left"/>
              <w:rPr>
                <w:rFonts w:hint="eastAsia" w:ascii="宋体" w:hAnsi="宋体" w:cs="宋体"/>
                <w:color w:val="000000"/>
                <w:kern w:val="0"/>
                <w:sz w:val="20"/>
                <w:szCs w:val="20"/>
                <w:lang w:bidi="ar"/>
              </w:rPr>
            </w:pPr>
          </w:p>
          <w:p w14:paraId="64D0FD67">
            <w:pPr>
              <w:widowControl/>
              <w:jc w:val="left"/>
              <w:rPr>
                <w:rFonts w:hint="eastAsia" w:ascii="宋体" w:hAnsi="宋体" w:cs="宋体"/>
                <w:color w:val="000000"/>
                <w:kern w:val="0"/>
                <w:sz w:val="20"/>
                <w:szCs w:val="20"/>
                <w:lang w:bidi="ar"/>
              </w:rPr>
            </w:pPr>
          </w:p>
          <w:p w14:paraId="409646DD">
            <w:pPr>
              <w:widowControl/>
              <w:jc w:val="left"/>
              <w:rPr>
                <w:rFonts w:hint="eastAsia" w:ascii="宋体" w:hAnsi="宋体" w:cs="宋体"/>
                <w:color w:val="000000"/>
                <w:kern w:val="0"/>
                <w:sz w:val="20"/>
                <w:szCs w:val="20"/>
                <w:lang w:bidi="ar"/>
              </w:rPr>
            </w:pPr>
          </w:p>
          <w:p w14:paraId="60295C15">
            <w:pPr>
              <w:widowControl/>
              <w:jc w:val="left"/>
              <w:rPr>
                <w:rFonts w:hint="eastAsia" w:ascii="宋体" w:hAnsi="宋体" w:cs="宋体"/>
                <w:color w:val="000000"/>
                <w:kern w:val="0"/>
                <w:sz w:val="20"/>
                <w:szCs w:val="20"/>
                <w:lang w:bidi="ar"/>
              </w:rPr>
            </w:pPr>
          </w:p>
          <w:p w14:paraId="2DBE7CA1">
            <w:pPr>
              <w:widowControl/>
              <w:jc w:val="left"/>
              <w:rPr>
                <w:rFonts w:hint="eastAsia" w:ascii="宋体" w:hAnsi="宋体" w:cs="宋体"/>
                <w:color w:val="000000"/>
                <w:kern w:val="0"/>
                <w:sz w:val="20"/>
                <w:szCs w:val="20"/>
                <w:lang w:bidi="ar"/>
              </w:rPr>
            </w:pPr>
          </w:p>
          <w:p w14:paraId="7FBFEEA5">
            <w:pPr>
              <w:widowControl/>
              <w:jc w:val="left"/>
              <w:rPr>
                <w:rFonts w:hint="eastAsia" w:ascii="宋体" w:hAnsi="宋体" w:cs="宋体"/>
                <w:color w:val="000000"/>
                <w:kern w:val="0"/>
                <w:sz w:val="20"/>
                <w:szCs w:val="20"/>
                <w:lang w:bidi="ar"/>
              </w:rPr>
            </w:pPr>
          </w:p>
          <w:p w14:paraId="01333F0F">
            <w:pPr>
              <w:widowControl/>
              <w:jc w:val="left"/>
              <w:rPr>
                <w:rFonts w:hint="eastAsia" w:ascii="宋体" w:hAnsi="宋体" w:cs="宋体"/>
                <w:color w:val="000000"/>
                <w:kern w:val="0"/>
                <w:sz w:val="20"/>
                <w:szCs w:val="20"/>
                <w:lang w:bidi="ar"/>
              </w:rPr>
            </w:pPr>
          </w:p>
          <w:p w14:paraId="2606D387">
            <w:pPr>
              <w:widowControl/>
              <w:jc w:val="left"/>
            </w:pPr>
            <w:r>
              <w:rPr>
                <w:rFonts w:hint="eastAsia" w:ascii="宋体" w:hAnsi="宋体" w:cs="宋体"/>
                <w:color w:val="000000"/>
                <w:kern w:val="0"/>
                <w:sz w:val="20"/>
                <w:szCs w:val="20"/>
                <w:lang w:bidi="ar"/>
              </w:rPr>
              <w:t>设备技术实力</w:t>
            </w:r>
            <w:r>
              <w:rPr>
                <w:rFonts w:ascii="宋体" w:hAnsi="宋体" w:cs="宋体"/>
                <w:color w:val="000000"/>
                <w:kern w:val="0"/>
                <w:sz w:val="20"/>
                <w:szCs w:val="20"/>
                <w:lang w:bidi="ar"/>
              </w:rPr>
              <w:t xml:space="preserve"> </w:t>
            </w:r>
          </w:p>
          <w:p w14:paraId="6EEDBAE8">
            <w:pPr>
              <w:numPr>
                <w:ilvl w:val="255"/>
                <w:numId w:val="0"/>
              </w:numPr>
              <w:spacing w:line="276" w:lineRule="auto"/>
              <w:jc w:val="center"/>
              <w:rPr>
                <w:rFonts w:hint="eastAsia" w:hAnsi="宋体" w:cs="Courier New"/>
                <w:color w:val="000000"/>
              </w:rPr>
            </w:pPr>
          </w:p>
        </w:tc>
        <w:tc>
          <w:tcPr>
            <w:tcW w:w="837" w:type="dxa"/>
            <w:vAlign w:val="center"/>
          </w:tcPr>
          <w:p w14:paraId="31284BF5">
            <w:pPr>
              <w:pStyle w:val="15"/>
              <w:spacing w:line="380" w:lineRule="exact"/>
              <w:jc w:val="center"/>
              <w:rPr>
                <w:rFonts w:hint="eastAsia" w:hAnsi="宋体" w:cs="Courier New"/>
              </w:rPr>
            </w:pPr>
          </w:p>
          <w:p w14:paraId="71F6C700">
            <w:pPr>
              <w:pStyle w:val="15"/>
              <w:spacing w:line="380" w:lineRule="exact"/>
              <w:jc w:val="center"/>
              <w:rPr>
                <w:rFonts w:hint="eastAsia" w:hAnsi="宋体" w:cs="Courier New"/>
              </w:rPr>
            </w:pPr>
          </w:p>
          <w:p w14:paraId="233D3267">
            <w:pPr>
              <w:pStyle w:val="15"/>
              <w:spacing w:line="380" w:lineRule="exact"/>
              <w:jc w:val="center"/>
              <w:rPr>
                <w:rFonts w:hint="eastAsia" w:hAnsi="宋体" w:cs="Courier New"/>
              </w:rPr>
            </w:pPr>
          </w:p>
          <w:p w14:paraId="7DC3665E">
            <w:pPr>
              <w:pStyle w:val="15"/>
              <w:spacing w:line="380" w:lineRule="exact"/>
              <w:jc w:val="center"/>
              <w:rPr>
                <w:rFonts w:hint="eastAsia" w:hAnsi="宋体" w:cs="Courier New"/>
              </w:rPr>
            </w:pPr>
          </w:p>
          <w:p w14:paraId="4C3B12E4">
            <w:pPr>
              <w:pStyle w:val="15"/>
              <w:spacing w:line="380" w:lineRule="exact"/>
              <w:jc w:val="center"/>
              <w:rPr>
                <w:rFonts w:hint="eastAsia" w:hAnsi="宋体" w:cs="Courier New"/>
              </w:rPr>
            </w:pPr>
          </w:p>
          <w:p w14:paraId="1150A0A7">
            <w:pPr>
              <w:pStyle w:val="15"/>
              <w:spacing w:line="380" w:lineRule="exact"/>
              <w:jc w:val="center"/>
              <w:rPr>
                <w:rFonts w:hint="eastAsia" w:hAnsi="宋体" w:cs="Courier New"/>
                <w:color w:val="000000"/>
              </w:rPr>
            </w:pPr>
            <w:r>
              <w:rPr>
                <w:rFonts w:hint="eastAsia" w:hAnsi="宋体" w:cs="Courier New"/>
                <w:lang w:val="en-US" w:eastAsia="zh-CN"/>
              </w:rPr>
              <w:t>15</w:t>
            </w:r>
            <w:r>
              <w:rPr>
                <w:rFonts w:hint="eastAsia" w:hAnsi="宋体" w:cs="Courier New"/>
              </w:rPr>
              <w:t>分</w:t>
            </w:r>
          </w:p>
        </w:tc>
        <w:tc>
          <w:tcPr>
            <w:tcW w:w="4633" w:type="dxa"/>
            <w:vAlign w:val="center"/>
          </w:tcPr>
          <w:p w14:paraId="50CE56DC">
            <w:pPr>
              <w:pStyle w:val="15"/>
              <w:numPr>
                <w:ilvl w:val="255"/>
                <w:numId w:val="0"/>
              </w:numPr>
              <w:spacing w:line="360" w:lineRule="auto"/>
              <w:rPr>
                <w:rFonts w:hint="eastAsia" w:hAnsi="宋体" w:cs="Courier New"/>
              </w:rPr>
            </w:pPr>
            <w:r>
              <w:rPr>
                <w:rFonts w:hint="eastAsia" w:hAnsi="宋体" w:cs="Courier New"/>
                <w:lang w:val="en-US" w:eastAsia="zh-CN"/>
              </w:rPr>
              <w:t>1</w:t>
            </w:r>
            <w:r>
              <w:rPr>
                <w:rFonts w:hint="eastAsia" w:hAnsi="宋体" w:cs="Courier New"/>
              </w:rPr>
              <w:t>.比选申请人供应的充电设备在具备远程手动重启功能的基础上，可实现故障自动检测并触发本地重启功能得的</w:t>
            </w:r>
            <w:r>
              <w:rPr>
                <w:rFonts w:hint="eastAsia" w:hAnsi="宋体" w:cs="Courier New"/>
                <w:lang w:val="en-US" w:eastAsia="zh-CN"/>
              </w:rPr>
              <w:t>2</w:t>
            </w:r>
            <w:r>
              <w:rPr>
                <w:rFonts w:hint="eastAsia" w:hAnsi="宋体" w:cs="Courier New"/>
              </w:rPr>
              <w:t>分</w:t>
            </w:r>
            <w:r>
              <w:rPr>
                <w:rFonts w:hAnsi="宋体" w:cs="Courier New"/>
              </w:rPr>
              <w:t>，本项最多得</w:t>
            </w:r>
            <w:r>
              <w:rPr>
                <w:rFonts w:hint="eastAsia" w:hAnsi="宋体" w:cs="Courier New"/>
                <w:lang w:val="en-US" w:eastAsia="zh-CN"/>
              </w:rPr>
              <w:t>2</w:t>
            </w:r>
            <w:r>
              <w:rPr>
                <w:rFonts w:hAnsi="宋体" w:cs="Courier New"/>
              </w:rPr>
              <w:t>分</w:t>
            </w:r>
            <w:r>
              <w:rPr>
                <w:rFonts w:hint="eastAsia" w:hAnsi="宋体" w:cs="Courier New"/>
              </w:rPr>
              <w:t>；</w:t>
            </w:r>
          </w:p>
          <w:p w14:paraId="16E70C04">
            <w:pPr>
              <w:pStyle w:val="15"/>
              <w:numPr>
                <w:ilvl w:val="255"/>
                <w:numId w:val="0"/>
              </w:numPr>
              <w:spacing w:line="360" w:lineRule="auto"/>
              <w:rPr>
                <w:rFonts w:hint="eastAsia" w:hAnsi="宋体" w:cs="Courier New"/>
              </w:rPr>
            </w:pPr>
            <w:r>
              <w:rPr>
                <w:rFonts w:hint="eastAsia" w:hAnsi="宋体" w:cs="Courier New"/>
                <w:lang w:val="en-US" w:eastAsia="zh-CN"/>
              </w:rPr>
              <w:t>2</w:t>
            </w:r>
            <w:r>
              <w:rPr>
                <w:rFonts w:hint="eastAsia" w:hAnsi="宋体" w:cs="Courier New"/>
              </w:rPr>
              <w:t>.供应的充电设备在具备将故障信息反馈至比选人指定平台的基础上，可实现直接进行相关信息释义的</w:t>
            </w:r>
            <w:r>
              <w:rPr>
                <w:rFonts w:hAnsi="宋体" w:cs="Courier New"/>
              </w:rPr>
              <w:t>得</w:t>
            </w:r>
            <w:r>
              <w:rPr>
                <w:rFonts w:hint="eastAsia" w:hAnsi="宋体" w:cs="Courier New"/>
                <w:lang w:val="en-US" w:eastAsia="zh-CN"/>
              </w:rPr>
              <w:t>2</w:t>
            </w:r>
            <w:r>
              <w:rPr>
                <w:rFonts w:hAnsi="宋体" w:cs="Courier New"/>
              </w:rPr>
              <w:t>分，本项最多得</w:t>
            </w:r>
            <w:r>
              <w:rPr>
                <w:rFonts w:hint="eastAsia" w:hAnsi="宋体" w:cs="Courier New"/>
                <w:lang w:val="en-US" w:eastAsia="zh-CN"/>
              </w:rPr>
              <w:t>2</w:t>
            </w:r>
            <w:r>
              <w:rPr>
                <w:rFonts w:hAnsi="宋体" w:cs="Courier New"/>
              </w:rPr>
              <w:t>分</w:t>
            </w:r>
            <w:r>
              <w:rPr>
                <w:rFonts w:hint="eastAsia" w:hAnsi="宋体" w:cs="Courier New"/>
              </w:rPr>
              <w:t>。</w:t>
            </w:r>
          </w:p>
          <w:p w14:paraId="674BC326">
            <w:pPr>
              <w:pStyle w:val="15"/>
              <w:numPr>
                <w:ilvl w:val="255"/>
                <w:numId w:val="0"/>
              </w:numPr>
              <w:spacing w:line="360" w:lineRule="auto"/>
              <w:rPr>
                <w:rStyle w:val="38"/>
                <w:rFonts w:hint="eastAsia" w:hAnsi="宋体" w:cs="Courier New"/>
              </w:rPr>
            </w:pPr>
            <w:r>
              <w:rPr>
                <w:rStyle w:val="38"/>
                <w:rFonts w:hint="eastAsia" w:hAnsi="宋体" w:cs="Courier New"/>
                <w:lang w:val="en-US" w:eastAsia="zh-CN"/>
              </w:rPr>
              <w:t>3</w:t>
            </w:r>
            <w:r>
              <w:rPr>
                <w:rStyle w:val="38"/>
                <w:rFonts w:hint="eastAsia" w:hAnsi="宋体" w:cs="Courier New"/>
              </w:rPr>
              <w:t>.</w:t>
            </w:r>
            <w:r>
              <w:rPr>
                <w:rStyle w:val="38"/>
                <w:rFonts w:hint="eastAsia"/>
              </w:rPr>
              <w:t>比选申请人具备核心部件PCBA主板（控制主板</w:t>
            </w:r>
            <w:r>
              <w:rPr>
                <w:rStyle w:val="38"/>
                <w:rFonts w:hint="eastAsia"/>
                <w:lang w:val="en-US" w:eastAsia="zh-CN"/>
              </w:rPr>
              <w:t>/充电控制器</w:t>
            </w:r>
            <w:r>
              <w:rPr>
                <w:rStyle w:val="38"/>
                <w:rFonts w:hint="eastAsia"/>
              </w:rPr>
              <w:t>）的研发能力，须提供检测报告（具备CNAS或具备CMA资质的权威检测机构出具）及体现“电路板”的发明或实用新型专利证书，得</w:t>
            </w:r>
            <w:r>
              <w:rPr>
                <w:rStyle w:val="38"/>
                <w:rFonts w:hint="eastAsia"/>
                <w:lang w:val="en-US" w:eastAsia="zh-CN"/>
              </w:rPr>
              <w:t>5</w:t>
            </w:r>
            <w:r>
              <w:rPr>
                <w:rStyle w:val="38"/>
                <w:rFonts w:hint="eastAsia"/>
              </w:rPr>
              <w:t>分</w:t>
            </w:r>
            <w:r>
              <w:rPr>
                <w:rStyle w:val="38"/>
                <w:rFonts w:hAnsi="宋体" w:cs="Courier New"/>
              </w:rPr>
              <w:t>，本项最多得</w:t>
            </w:r>
            <w:r>
              <w:rPr>
                <w:rStyle w:val="38"/>
                <w:rFonts w:hint="eastAsia" w:hAnsi="宋体" w:cs="Courier New"/>
                <w:lang w:val="en-US" w:eastAsia="zh-CN"/>
              </w:rPr>
              <w:t>5</w:t>
            </w:r>
            <w:r>
              <w:rPr>
                <w:rStyle w:val="38"/>
                <w:rFonts w:hAnsi="宋体" w:cs="Courier New"/>
              </w:rPr>
              <w:t>分</w:t>
            </w:r>
            <w:r>
              <w:rPr>
                <w:rStyle w:val="38"/>
                <w:rFonts w:hint="eastAsia" w:hAnsi="宋体" w:cs="Courier New"/>
              </w:rPr>
              <w:t>；</w:t>
            </w:r>
          </w:p>
          <w:p w14:paraId="608A6FFB">
            <w:pPr>
              <w:pStyle w:val="15"/>
              <w:numPr>
                <w:ilvl w:val="255"/>
                <w:numId w:val="0"/>
              </w:numPr>
              <w:spacing w:line="360" w:lineRule="auto"/>
              <w:rPr>
                <w:rStyle w:val="38"/>
                <w:rFonts w:hint="eastAsia" w:hAnsi="宋体" w:cs="Courier New"/>
              </w:rPr>
            </w:pPr>
            <w:r>
              <w:rPr>
                <w:rStyle w:val="38"/>
                <w:rFonts w:hint="eastAsia" w:hAnsi="宋体" w:cs="Courier New"/>
                <w:lang w:val="en-US" w:eastAsia="zh-CN"/>
              </w:rPr>
              <w:t>4</w:t>
            </w:r>
            <w:r>
              <w:rPr>
                <w:rStyle w:val="38"/>
                <w:rFonts w:hint="eastAsia" w:hAnsi="宋体" w:cs="Courier New"/>
              </w:rPr>
              <w:t>.比选申请人具备核心部件充电模块的研发能力，须提供充电模块检测报告（具备CNAS或具备CMA资质的权威检测机构出具）及体现“充电模块”的发明</w:t>
            </w:r>
            <w:r>
              <w:rPr>
                <w:rStyle w:val="38"/>
                <w:rFonts w:hint="eastAsia" w:hAnsi="宋体" w:cs="Courier New"/>
                <w:lang w:val="en-US" w:eastAsia="zh-CN"/>
              </w:rPr>
              <w:t>专利证书</w:t>
            </w:r>
            <w:r>
              <w:rPr>
                <w:rStyle w:val="38"/>
                <w:rFonts w:hint="eastAsia" w:hAnsi="宋体" w:cs="Courier New"/>
              </w:rPr>
              <w:t>或实用新型专利证书得的</w:t>
            </w:r>
            <w:r>
              <w:rPr>
                <w:rStyle w:val="38"/>
                <w:rFonts w:hint="eastAsia" w:hAnsi="宋体" w:cs="Courier New"/>
                <w:lang w:val="en-US" w:eastAsia="zh-CN"/>
              </w:rPr>
              <w:t>5</w:t>
            </w:r>
            <w:r>
              <w:rPr>
                <w:rStyle w:val="38"/>
                <w:rFonts w:hint="eastAsia" w:hAnsi="宋体" w:cs="Courier New"/>
              </w:rPr>
              <w:t>分</w:t>
            </w:r>
            <w:r>
              <w:rPr>
                <w:rStyle w:val="38"/>
                <w:rFonts w:hAnsi="宋体" w:cs="Courier New"/>
              </w:rPr>
              <w:t>，本项最多得</w:t>
            </w:r>
            <w:r>
              <w:rPr>
                <w:rStyle w:val="38"/>
                <w:rFonts w:hint="eastAsia" w:hAnsi="宋体" w:cs="Courier New"/>
                <w:lang w:val="en-US" w:eastAsia="zh-CN"/>
              </w:rPr>
              <w:t>5</w:t>
            </w:r>
            <w:r>
              <w:rPr>
                <w:rStyle w:val="38"/>
                <w:rFonts w:hAnsi="宋体" w:cs="Courier New"/>
              </w:rPr>
              <w:t>分</w:t>
            </w:r>
            <w:r>
              <w:rPr>
                <w:rStyle w:val="38"/>
                <w:rFonts w:hint="eastAsia" w:hAnsi="宋体" w:cs="Courier New"/>
              </w:rPr>
              <w:t>；</w:t>
            </w:r>
          </w:p>
          <w:p w14:paraId="06C3ADB1">
            <w:pPr>
              <w:pStyle w:val="15"/>
              <w:numPr>
                <w:ilvl w:val="255"/>
                <w:numId w:val="0"/>
              </w:numPr>
              <w:spacing w:line="360" w:lineRule="auto"/>
            </w:pPr>
            <w:r>
              <w:rPr>
                <w:rStyle w:val="38"/>
                <w:rFonts w:hint="eastAsia" w:hAnsi="宋体" w:cs="Courier New"/>
                <w:lang w:val="en-US" w:eastAsia="zh-CN"/>
              </w:rPr>
              <w:t>5</w:t>
            </w:r>
            <w:r>
              <w:rPr>
                <w:rStyle w:val="38"/>
                <w:rFonts w:hint="eastAsia" w:ascii="Times New Roman" w:hAnsi="宋体" w:cs="Courier New"/>
              </w:rPr>
              <w:t>.承诺在质保期内免费为用户提供智能运维服务得</w:t>
            </w:r>
            <w:r>
              <w:rPr>
                <w:rStyle w:val="38"/>
                <w:rFonts w:hint="eastAsia" w:ascii="Times New Roman" w:hAnsi="宋体" w:cs="Courier New"/>
                <w:lang w:val="en-US" w:eastAsia="zh-CN"/>
              </w:rPr>
              <w:t>1</w:t>
            </w:r>
            <w:r>
              <w:rPr>
                <w:rStyle w:val="38"/>
                <w:rFonts w:hint="eastAsia" w:ascii="Times New Roman" w:hAnsi="宋体" w:cs="Courier New"/>
              </w:rPr>
              <w:t>分，须提供投标自有的云平台软件著作权作及运维界面截图证明</w:t>
            </w:r>
            <w:r>
              <w:rPr>
                <w:rStyle w:val="38"/>
                <w:rFonts w:hint="eastAsia" w:ascii="Times New Roman" w:hAnsi="宋体" w:cs="Courier New"/>
                <w:lang w:val="en-US" w:eastAsia="zh-CN"/>
              </w:rPr>
              <w:t>或承诺函</w:t>
            </w:r>
            <w:r>
              <w:rPr>
                <w:rStyle w:val="38"/>
                <w:rFonts w:hint="eastAsia" w:ascii="Times New Roman" w:hAnsi="宋体" w:cs="Courier New"/>
              </w:rPr>
              <w:t>。</w:t>
            </w:r>
          </w:p>
          <w:p w14:paraId="38C4C3FB">
            <w:pPr>
              <w:pStyle w:val="15"/>
              <w:numPr>
                <w:ilvl w:val="255"/>
                <w:numId w:val="0"/>
              </w:numPr>
              <w:spacing w:line="360" w:lineRule="auto"/>
              <w:rPr>
                <w:rFonts w:hint="eastAsia" w:hAnsi="宋体" w:cs="Courier New"/>
              </w:rPr>
            </w:pPr>
            <w:r>
              <w:rPr>
                <w:rStyle w:val="38"/>
                <w:rFonts w:hint="eastAsia" w:hAnsi="宋体" w:cs="Courier New"/>
              </w:rPr>
              <w:t>注：上述第 1-2条功能须提供功能说明书(含截图</w:t>
            </w:r>
            <w:r>
              <w:rPr>
                <w:rStyle w:val="38"/>
                <w:rFonts w:hint="eastAsia" w:hAnsi="宋体" w:cs="Courier New"/>
                <w:lang w:val="en-US" w:eastAsia="zh-CN"/>
              </w:rPr>
              <w:t>或承诺函</w:t>
            </w:r>
            <w:r>
              <w:rPr>
                <w:rStyle w:val="38"/>
                <w:rFonts w:hint="eastAsia" w:hAnsi="宋体" w:cs="Courier New"/>
              </w:rPr>
              <w:t>等相关证明)</w:t>
            </w:r>
            <w:r>
              <w:rPr>
                <w:rStyle w:val="38"/>
                <w:rFonts w:hint="eastAsia" w:hAnsi="宋体" w:cs="Courier New"/>
                <w:lang w:eastAsia="zh-CN"/>
              </w:rPr>
              <w:t>；</w:t>
            </w:r>
            <w:r>
              <w:rPr>
                <w:rStyle w:val="38"/>
                <w:rFonts w:hint="eastAsia" w:hAnsi="宋体" w:cs="Courier New"/>
                <w:lang w:val="en-US" w:eastAsia="zh-CN"/>
              </w:rPr>
              <w:t>3-4条</w:t>
            </w:r>
            <w:r>
              <w:rPr>
                <w:rStyle w:val="38"/>
                <w:rFonts w:hint="eastAsia" w:hAnsi="宋体" w:cs="Courier New"/>
              </w:rPr>
              <w:t>要求</w:t>
            </w:r>
            <w:r>
              <w:rPr>
                <w:rStyle w:val="38"/>
                <w:rFonts w:hint="eastAsia" w:hAnsi="宋体" w:cs="Courier New"/>
                <w:lang w:val="en-US" w:eastAsia="zh-CN"/>
              </w:rPr>
              <w:t>须</w:t>
            </w:r>
            <w:r>
              <w:rPr>
                <w:rStyle w:val="38"/>
                <w:rFonts w:hint="eastAsia" w:hAnsi="宋体" w:cs="Courier New"/>
              </w:rPr>
              <w:t>提供相应的</w:t>
            </w:r>
            <w:r>
              <w:rPr>
                <w:rStyle w:val="38"/>
                <w:rFonts w:hint="eastAsia" w:hAnsi="宋体" w:cs="Courier New"/>
                <w:lang w:val="en-US" w:eastAsia="zh-CN"/>
              </w:rPr>
              <w:t>证书复印件</w:t>
            </w:r>
            <w:r>
              <w:rPr>
                <w:rStyle w:val="38"/>
                <w:rFonts w:hint="eastAsia" w:hAnsi="宋体" w:cs="Courier New"/>
              </w:rPr>
              <w:t>，如未提供则不得分）。</w:t>
            </w:r>
          </w:p>
        </w:tc>
      </w:tr>
    </w:tbl>
    <w:p w14:paraId="49D23845">
      <w:pPr>
        <w:pStyle w:val="8"/>
        <w:tabs>
          <w:tab w:val="clear" w:pos="4710"/>
        </w:tabs>
        <w:spacing w:line="380" w:lineRule="exact"/>
        <w:ind w:firstLine="281" w:firstLineChars="100"/>
        <w:jc w:val="both"/>
        <w:rPr>
          <w:rFonts w:hint="eastAsia" w:ascii="宋体" w:hAnsi="宋体"/>
          <w:bCs w:val="0"/>
          <w:sz w:val="28"/>
          <w:szCs w:val="28"/>
        </w:rPr>
      </w:pPr>
      <w:r>
        <w:rPr>
          <w:rFonts w:hint="eastAsia" w:ascii="黑体" w:hAnsi="宋体" w:eastAsia="黑体" w:cs="黑体"/>
          <w:bCs/>
          <w:spacing w:val="0"/>
          <w:sz w:val="28"/>
          <w:szCs w:val="28"/>
        </w:rPr>
        <w:t>C.报价部分</w:t>
      </w:r>
      <w:r>
        <w:rPr>
          <w:rFonts w:hint="eastAsia" w:ascii="宋体" w:hAnsi="宋体"/>
          <w:bCs w:val="0"/>
          <w:sz w:val="28"/>
          <w:szCs w:val="28"/>
        </w:rPr>
        <w:t>（满分50分）</w:t>
      </w:r>
    </w:p>
    <w:tbl>
      <w:tblPr>
        <w:tblStyle w:val="26"/>
        <w:tblW w:w="0" w:type="auto"/>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675"/>
        <w:gridCol w:w="1141"/>
        <w:gridCol w:w="1217"/>
        <w:gridCol w:w="709"/>
        <w:gridCol w:w="4728"/>
      </w:tblGrid>
      <w:tr w14:paraId="244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13" w:type="dxa"/>
            <w:vAlign w:val="center"/>
          </w:tcPr>
          <w:p w14:paraId="20C59199">
            <w:pPr>
              <w:autoSpaceDE w:val="0"/>
              <w:autoSpaceDN w:val="0"/>
              <w:adjustRightInd w:val="0"/>
              <w:spacing w:line="380" w:lineRule="exact"/>
              <w:jc w:val="center"/>
              <w:rPr>
                <w:rFonts w:hint="eastAsia" w:hAnsi="宋体"/>
                <w:b/>
                <w:szCs w:val="21"/>
              </w:rPr>
            </w:pPr>
            <w:r>
              <w:rPr>
                <w:rFonts w:hint="eastAsia" w:hAnsi="宋体"/>
                <w:b/>
                <w:szCs w:val="21"/>
              </w:rPr>
              <w:t>序号</w:t>
            </w:r>
          </w:p>
        </w:tc>
        <w:tc>
          <w:tcPr>
            <w:tcW w:w="675" w:type="dxa"/>
            <w:vAlign w:val="center"/>
          </w:tcPr>
          <w:p w14:paraId="566F6EF3">
            <w:pPr>
              <w:autoSpaceDE w:val="0"/>
              <w:autoSpaceDN w:val="0"/>
              <w:adjustRightInd w:val="0"/>
              <w:spacing w:line="380" w:lineRule="exact"/>
              <w:jc w:val="center"/>
              <w:rPr>
                <w:rFonts w:hint="eastAsia" w:hAnsi="宋体"/>
                <w:b/>
                <w:szCs w:val="21"/>
              </w:rPr>
            </w:pPr>
            <w:r>
              <w:rPr>
                <w:rFonts w:hint="eastAsia" w:hAnsi="宋体"/>
                <w:b/>
                <w:szCs w:val="21"/>
              </w:rPr>
              <w:t>评审因素</w:t>
            </w:r>
          </w:p>
        </w:tc>
        <w:tc>
          <w:tcPr>
            <w:tcW w:w="1141" w:type="dxa"/>
            <w:vAlign w:val="center"/>
          </w:tcPr>
          <w:p w14:paraId="0C004E5A">
            <w:pPr>
              <w:autoSpaceDE w:val="0"/>
              <w:autoSpaceDN w:val="0"/>
              <w:adjustRightInd w:val="0"/>
              <w:spacing w:line="380" w:lineRule="exact"/>
              <w:jc w:val="center"/>
              <w:rPr>
                <w:rFonts w:hint="eastAsia" w:hAnsi="宋体"/>
                <w:b/>
                <w:szCs w:val="21"/>
              </w:rPr>
            </w:pPr>
            <w:r>
              <w:rPr>
                <w:rFonts w:hint="eastAsia" w:hAnsi="宋体"/>
                <w:b/>
                <w:szCs w:val="21"/>
              </w:rPr>
              <w:t>评审因素评分值</w:t>
            </w:r>
          </w:p>
        </w:tc>
        <w:tc>
          <w:tcPr>
            <w:tcW w:w="1217" w:type="dxa"/>
            <w:vAlign w:val="center"/>
          </w:tcPr>
          <w:p w14:paraId="02CA7FA8">
            <w:pPr>
              <w:autoSpaceDE w:val="0"/>
              <w:autoSpaceDN w:val="0"/>
              <w:adjustRightInd w:val="0"/>
              <w:spacing w:line="380" w:lineRule="exact"/>
              <w:jc w:val="center"/>
              <w:rPr>
                <w:rFonts w:hint="eastAsia" w:hAnsi="宋体"/>
                <w:b/>
                <w:szCs w:val="21"/>
              </w:rPr>
            </w:pPr>
            <w:r>
              <w:rPr>
                <w:rFonts w:hint="eastAsia" w:hAnsi="宋体"/>
                <w:b/>
                <w:szCs w:val="21"/>
              </w:rPr>
              <w:t>各评审因素细分项</w:t>
            </w:r>
          </w:p>
        </w:tc>
        <w:tc>
          <w:tcPr>
            <w:tcW w:w="709" w:type="dxa"/>
            <w:vAlign w:val="center"/>
          </w:tcPr>
          <w:p w14:paraId="2D9002E9">
            <w:pPr>
              <w:autoSpaceDE w:val="0"/>
              <w:autoSpaceDN w:val="0"/>
              <w:adjustRightInd w:val="0"/>
              <w:spacing w:line="380" w:lineRule="exact"/>
              <w:jc w:val="center"/>
              <w:rPr>
                <w:rFonts w:hint="eastAsia" w:hAnsi="宋体"/>
                <w:b/>
                <w:szCs w:val="21"/>
              </w:rPr>
            </w:pPr>
            <w:r>
              <w:rPr>
                <w:rFonts w:hint="eastAsia" w:hAnsi="宋体"/>
                <w:b/>
                <w:szCs w:val="21"/>
              </w:rPr>
              <w:t>分值</w:t>
            </w:r>
          </w:p>
        </w:tc>
        <w:tc>
          <w:tcPr>
            <w:tcW w:w="4728" w:type="dxa"/>
            <w:vAlign w:val="center"/>
          </w:tcPr>
          <w:p w14:paraId="08CC64F0">
            <w:pPr>
              <w:autoSpaceDE w:val="0"/>
              <w:autoSpaceDN w:val="0"/>
              <w:adjustRightInd w:val="0"/>
              <w:spacing w:line="380" w:lineRule="exact"/>
              <w:jc w:val="center"/>
              <w:rPr>
                <w:rFonts w:hint="eastAsia" w:hAnsi="宋体"/>
                <w:szCs w:val="21"/>
              </w:rPr>
            </w:pPr>
            <w:r>
              <w:rPr>
                <w:rFonts w:hint="eastAsia" w:hAnsi="宋体"/>
                <w:b/>
                <w:szCs w:val="21"/>
              </w:rPr>
              <w:t>评分标准</w:t>
            </w:r>
          </w:p>
        </w:tc>
      </w:tr>
      <w:tr w14:paraId="796A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613" w:type="dxa"/>
            <w:vAlign w:val="center"/>
          </w:tcPr>
          <w:p w14:paraId="21F0D3D1">
            <w:pPr>
              <w:autoSpaceDE w:val="0"/>
              <w:autoSpaceDN w:val="0"/>
              <w:adjustRightInd w:val="0"/>
              <w:spacing w:line="380" w:lineRule="exact"/>
              <w:jc w:val="center"/>
              <w:rPr>
                <w:rFonts w:hint="eastAsia" w:hAnsi="宋体"/>
                <w:szCs w:val="21"/>
              </w:rPr>
            </w:pPr>
            <w:r>
              <w:rPr>
                <w:rFonts w:hint="eastAsia" w:hAnsi="宋体"/>
                <w:szCs w:val="21"/>
              </w:rPr>
              <w:t>1</w:t>
            </w:r>
          </w:p>
        </w:tc>
        <w:tc>
          <w:tcPr>
            <w:tcW w:w="675" w:type="dxa"/>
            <w:vAlign w:val="center"/>
          </w:tcPr>
          <w:p w14:paraId="2EFABB50">
            <w:pPr>
              <w:autoSpaceDE w:val="0"/>
              <w:autoSpaceDN w:val="0"/>
              <w:adjustRightInd w:val="0"/>
              <w:spacing w:line="380" w:lineRule="exact"/>
              <w:ind w:right="-105" w:rightChars="-50"/>
              <w:jc w:val="center"/>
              <w:rPr>
                <w:rFonts w:hint="eastAsia" w:hAnsi="宋体"/>
                <w:szCs w:val="21"/>
              </w:rPr>
            </w:pPr>
            <w:r>
              <w:rPr>
                <w:rFonts w:hint="eastAsia" w:hAnsi="宋体"/>
                <w:szCs w:val="21"/>
              </w:rPr>
              <w:t>报价部分</w:t>
            </w:r>
          </w:p>
        </w:tc>
        <w:tc>
          <w:tcPr>
            <w:tcW w:w="1141" w:type="dxa"/>
            <w:vAlign w:val="center"/>
          </w:tcPr>
          <w:p w14:paraId="63F0C35A">
            <w:pPr>
              <w:autoSpaceDE w:val="0"/>
              <w:autoSpaceDN w:val="0"/>
              <w:adjustRightInd w:val="0"/>
              <w:spacing w:line="380" w:lineRule="exact"/>
              <w:jc w:val="center"/>
              <w:rPr>
                <w:rFonts w:hint="eastAsia" w:hAnsi="宋体"/>
                <w:szCs w:val="21"/>
              </w:rPr>
            </w:pPr>
            <w:r>
              <w:rPr>
                <w:rFonts w:hint="eastAsia" w:hAnsi="宋体"/>
                <w:szCs w:val="21"/>
              </w:rPr>
              <w:t>50分</w:t>
            </w:r>
          </w:p>
        </w:tc>
        <w:tc>
          <w:tcPr>
            <w:tcW w:w="1217" w:type="dxa"/>
            <w:vAlign w:val="center"/>
          </w:tcPr>
          <w:p w14:paraId="268344FD">
            <w:pPr>
              <w:spacing w:line="380" w:lineRule="exact"/>
              <w:jc w:val="center"/>
              <w:rPr>
                <w:rFonts w:hint="eastAsia" w:hAnsi="宋体"/>
                <w:szCs w:val="21"/>
              </w:rPr>
            </w:pPr>
            <w:r>
              <w:rPr>
                <w:rFonts w:hint="eastAsia" w:hAnsi="宋体"/>
                <w:szCs w:val="21"/>
              </w:rPr>
              <w:t>比选报价</w:t>
            </w:r>
          </w:p>
        </w:tc>
        <w:tc>
          <w:tcPr>
            <w:tcW w:w="709" w:type="dxa"/>
            <w:vAlign w:val="center"/>
          </w:tcPr>
          <w:p w14:paraId="14FA69F7">
            <w:pPr>
              <w:autoSpaceDE w:val="0"/>
              <w:autoSpaceDN w:val="0"/>
              <w:adjustRightInd w:val="0"/>
              <w:spacing w:line="380" w:lineRule="exact"/>
              <w:jc w:val="center"/>
              <w:rPr>
                <w:rFonts w:hint="eastAsia" w:hAnsi="宋体"/>
                <w:szCs w:val="21"/>
              </w:rPr>
            </w:pPr>
            <w:r>
              <w:rPr>
                <w:rFonts w:hint="eastAsia" w:hAnsi="宋体"/>
                <w:szCs w:val="21"/>
              </w:rPr>
              <w:t>50分</w:t>
            </w:r>
          </w:p>
        </w:tc>
        <w:tc>
          <w:tcPr>
            <w:tcW w:w="4728" w:type="dxa"/>
            <w:vAlign w:val="center"/>
          </w:tcPr>
          <w:p w14:paraId="65BFEA37">
            <w:pPr>
              <w:pStyle w:val="55"/>
              <w:numPr>
                <w:ilvl w:val="0"/>
                <w:numId w:val="9"/>
              </w:numPr>
              <w:autoSpaceDE w:val="0"/>
              <w:autoSpaceDN w:val="0"/>
              <w:spacing w:line="380" w:lineRule="exact"/>
              <w:ind w:firstLineChars="0"/>
              <w:rPr>
                <w:rFonts w:hint="eastAsia" w:hAnsi="宋体"/>
                <w:szCs w:val="21"/>
              </w:rPr>
            </w:pPr>
            <w:r>
              <w:rPr>
                <w:rFonts w:hint="eastAsia" w:hAnsi="宋体"/>
                <w:szCs w:val="21"/>
              </w:rPr>
              <w:t>比选申请报价</w:t>
            </w:r>
            <w:r>
              <w:rPr>
                <w:rFonts w:hAnsi="宋体"/>
                <w:szCs w:val="21"/>
              </w:rPr>
              <w:t>=</w:t>
            </w:r>
            <w:r>
              <w:rPr>
                <w:rFonts w:hint="eastAsia" w:hAnsi="宋体"/>
                <w:szCs w:val="21"/>
              </w:rPr>
              <w:t>基准价时，报价得分值</w:t>
            </w:r>
            <w:r>
              <w:rPr>
                <w:rFonts w:hAnsi="宋体"/>
                <w:szCs w:val="21"/>
              </w:rPr>
              <w:t>C</w:t>
            </w:r>
            <w:r>
              <w:rPr>
                <w:rFonts w:hint="eastAsia" w:hAnsi="宋体"/>
                <w:szCs w:val="21"/>
              </w:rPr>
              <w:t>为满分50分。</w:t>
            </w:r>
          </w:p>
          <w:p w14:paraId="0E8936BF">
            <w:pPr>
              <w:pStyle w:val="55"/>
              <w:numPr>
                <w:ilvl w:val="0"/>
                <w:numId w:val="9"/>
              </w:numPr>
              <w:autoSpaceDE w:val="0"/>
              <w:autoSpaceDN w:val="0"/>
              <w:spacing w:line="380" w:lineRule="exact"/>
              <w:ind w:firstLineChars="0"/>
              <w:rPr>
                <w:rFonts w:hint="eastAsia" w:hAnsi="宋体"/>
                <w:szCs w:val="21"/>
              </w:rPr>
            </w:pPr>
            <w:r>
              <w:rPr>
                <w:rFonts w:hint="eastAsia" w:hAnsi="宋体"/>
                <w:szCs w:val="21"/>
              </w:rPr>
              <w:t>比选申请报价＞基准价：</w:t>
            </w:r>
          </w:p>
          <w:p w14:paraId="4105ED0B">
            <w:pPr>
              <w:autoSpaceDE w:val="0"/>
              <w:autoSpaceDN w:val="0"/>
              <w:spacing w:line="380" w:lineRule="exact"/>
              <w:rPr>
                <w:rFonts w:hint="default" w:hAnsi="宋体" w:eastAsia="宋体"/>
                <w:szCs w:val="21"/>
                <w:lang w:val="en-US" w:eastAsia="zh-CN"/>
              </w:rPr>
            </w:pPr>
            <w:r>
              <w:rPr>
                <w:rFonts w:hint="eastAsia" w:hAnsi="宋体"/>
                <w:szCs w:val="21"/>
              </w:rPr>
              <w:t>报价得分</w:t>
            </w:r>
            <w:r>
              <w:rPr>
                <w:rFonts w:hAnsi="宋体"/>
                <w:szCs w:val="21"/>
              </w:rPr>
              <w:t>C=</w:t>
            </w:r>
            <w:r>
              <w:rPr>
                <w:rFonts w:hint="eastAsia" w:hAnsi="宋体"/>
                <w:szCs w:val="21"/>
              </w:rPr>
              <w:t>50</w:t>
            </w:r>
            <w:r>
              <w:rPr>
                <w:rFonts w:hAnsi="宋体"/>
                <w:szCs w:val="21"/>
              </w:rPr>
              <w:t>-</w:t>
            </w:r>
            <w:r>
              <w:rPr>
                <w:rFonts w:hint="eastAsia" w:hAnsi="宋体"/>
                <w:szCs w:val="21"/>
              </w:rPr>
              <w:t>偏差率×</w:t>
            </w:r>
            <w:r>
              <w:rPr>
                <w:rFonts w:hAnsi="宋体"/>
                <w:szCs w:val="21"/>
              </w:rPr>
              <w:t>100</w:t>
            </w:r>
            <w:r>
              <w:rPr>
                <w:rFonts w:hint="eastAsia" w:hAnsi="宋体"/>
                <w:szCs w:val="21"/>
              </w:rPr>
              <w:t>×</w:t>
            </w:r>
            <w:r>
              <w:rPr>
                <w:rFonts w:hAnsi="宋体"/>
                <w:szCs w:val="21"/>
              </w:rPr>
              <w:t>E</w:t>
            </w:r>
            <w:r>
              <w:rPr>
                <w:rFonts w:hint="eastAsia" w:hAnsi="宋体"/>
                <w:szCs w:val="21"/>
              </w:rPr>
              <w:t>，</w:t>
            </w:r>
            <w:r>
              <w:rPr>
                <w:rFonts w:hAnsi="宋体"/>
                <w:szCs w:val="21"/>
              </w:rPr>
              <w:t>E</w:t>
            </w:r>
            <w:r>
              <w:rPr>
                <w:rFonts w:hint="eastAsia" w:hAnsi="宋体"/>
                <w:szCs w:val="21"/>
              </w:rPr>
              <w:t>取</w:t>
            </w:r>
            <w:r>
              <w:rPr>
                <w:rFonts w:hint="eastAsia" w:hAnsi="宋体"/>
                <w:szCs w:val="21"/>
                <w:lang w:val="en-US" w:eastAsia="zh-CN"/>
              </w:rPr>
              <w:t>1.2</w:t>
            </w:r>
          </w:p>
          <w:p w14:paraId="1B63868E">
            <w:pPr>
              <w:pStyle w:val="55"/>
              <w:numPr>
                <w:ilvl w:val="0"/>
                <w:numId w:val="9"/>
              </w:numPr>
              <w:autoSpaceDE w:val="0"/>
              <w:autoSpaceDN w:val="0"/>
              <w:spacing w:line="380" w:lineRule="exact"/>
              <w:ind w:firstLineChars="0"/>
              <w:rPr>
                <w:rFonts w:hint="eastAsia" w:hAnsi="宋体"/>
                <w:szCs w:val="21"/>
              </w:rPr>
            </w:pPr>
            <w:r>
              <w:rPr>
                <w:rFonts w:hint="eastAsia" w:hAnsi="宋体"/>
                <w:szCs w:val="21"/>
              </w:rPr>
              <w:t>比选申请报价＜基准价：</w:t>
            </w:r>
          </w:p>
          <w:p w14:paraId="542DBAF8">
            <w:pPr>
              <w:autoSpaceDE w:val="0"/>
              <w:autoSpaceDN w:val="0"/>
              <w:spacing w:line="380" w:lineRule="exact"/>
              <w:rPr>
                <w:rFonts w:hint="default" w:hAnsi="宋体" w:eastAsia="宋体"/>
                <w:szCs w:val="21"/>
                <w:lang w:val="en-US" w:eastAsia="zh-CN"/>
              </w:rPr>
            </w:pPr>
            <w:r>
              <w:rPr>
                <w:rFonts w:hint="eastAsia" w:hAnsi="宋体"/>
                <w:szCs w:val="21"/>
              </w:rPr>
              <w:t>报价得分</w:t>
            </w:r>
            <w:r>
              <w:rPr>
                <w:rFonts w:hAnsi="宋体"/>
                <w:szCs w:val="21"/>
              </w:rPr>
              <w:t>C=</w:t>
            </w:r>
            <w:r>
              <w:rPr>
                <w:rFonts w:hint="eastAsia" w:hAnsi="宋体"/>
                <w:szCs w:val="21"/>
              </w:rPr>
              <w:t>50</w:t>
            </w:r>
            <w:r>
              <w:rPr>
                <w:rFonts w:hAnsi="宋体"/>
                <w:szCs w:val="21"/>
              </w:rPr>
              <w:t>-</w:t>
            </w:r>
            <w:r>
              <w:rPr>
                <w:rFonts w:hint="eastAsia" w:hAnsi="宋体"/>
                <w:szCs w:val="21"/>
              </w:rPr>
              <w:t>偏差率×</w:t>
            </w:r>
            <w:r>
              <w:rPr>
                <w:rFonts w:hAnsi="宋体"/>
                <w:szCs w:val="21"/>
              </w:rPr>
              <w:t>100</w:t>
            </w:r>
            <w:r>
              <w:rPr>
                <w:rFonts w:hint="eastAsia" w:hAnsi="宋体"/>
                <w:szCs w:val="21"/>
              </w:rPr>
              <w:t>×</w:t>
            </w:r>
            <w:r>
              <w:rPr>
                <w:rFonts w:hAnsi="宋体"/>
                <w:szCs w:val="21"/>
              </w:rPr>
              <w:t>E</w:t>
            </w:r>
            <w:r>
              <w:rPr>
                <w:rFonts w:hint="eastAsia" w:hAnsi="宋体"/>
                <w:szCs w:val="21"/>
              </w:rPr>
              <w:t>，</w:t>
            </w:r>
            <w:r>
              <w:rPr>
                <w:rFonts w:hAnsi="宋体"/>
                <w:szCs w:val="21"/>
              </w:rPr>
              <w:t>E</w:t>
            </w:r>
            <w:r>
              <w:rPr>
                <w:rFonts w:hint="eastAsia" w:hAnsi="宋体"/>
                <w:szCs w:val="21"/>
              </w:rPr>
              <w:t>取</w:t>
            </w:r>
            <w:r>
              <w:rPr>
                <w:rFonts w:hint="eastAsia" w:hAnsi="宋体"/>
                <w:szCs w:val="21"/>
                <w:lang w:val="en-US" w:eastAsia="zh-CN"/>
              </w:rPr>
              <w:t>1.0</w:t>
            </w:r>
          </w:p>
        </w:tc>
      </w:tr>
    </w:tbl>
    <w:p w14:paraId="0A2BF64F">
      <w:pPr>
        <w:pStyle w:val="15"/>
        <w:ind w:firstLine="422" w:firstLineChars="200"/>
        <w:rPr>
          <w:rFonts w:hint="eastAsia" w:hAnsi="宋体"/>
          <w:b/>
        </w:rPr>
      </w:pPr>
      <w:bookmarkStart w:id="32" w:name="_bookmark126"/>
      <w:bookmarkEnd w:id="32"/>
      <w:r>
        <w:rPr>
          <w:rFonts w:hint="eastAsia" w:hAnsi="宋体"/>
          <w:b/>
        </w:rPr>
        <w:t>一、评标方法</w:t>
      </w:r>
    </w:p>
    <w:p w14:paraId="5394E95F">
      <w:pPr>
        <w:pStyle w:val="15"/>
        <w:spacing w:line="360" w:lineRule="auto"/>
        <w:ind w:firstLine="420" w:firstLineChars="200"/>
        <w:rPr>
          <w:rFonts w:hint="eastAsia" w:hAnsi="宋体" w:cs="宋体"/>
          <w:kern w:val="0"/>
          <w:szCs w:val="24"/>
        </w:rPr>
      </w:pPr>
      <w:r>
        <w:rPr>
          <w:rFonts w:hint="eastAsia" w:hAnsi="宋体" w:cs="宋体"/>
          <w:kern w:val="0"/>
          <w:szCs w:val="24"/>
        </w:rPr>
        <w:t>本次评标采用</w:t>
      </w:r>
      <w:r>
        <w:rPr>
          <w:rFonts w:hint="eastAsia" w:hAnsi="宋体" w:cs="宋体"/>
          <w:kern w:val="0"/>
          <w:szCs w:val="24"/>
          <w:lang w:eastAsia="zh-CN"/>
        </w:rPr>
        <w:t>综合评</w:t>
      </w:r>
      <w:r>
        <w:rPr>
          <w:rFonts w:hint="eastAsia" w:hAnsi="宋体" w:cs="宋体"/>
          <w:kern w:val="0"/>
          <w:szCs w:val="24"/>
          <w:lang w:val="en-US" w:eastAsia="zh-CN"/>
        </w:rPr>
        <w:t>分</w:t>
      </w:r>
      <w:r>
        <w:rPr>
          <w:rFonts w:hint="eastAsia" w:hAnsi="宋体" w:cs="宋体"/>
          <w:kern w:val="0"/>
          <w:szCs w:val="24"/>
          <w:lang w:eastAsia="zh-CN"/>
        </w:rPr>
        <w:t>法</w:t>
      </w:r>
      <w:r>
        <w:rPr>
          <w:rFonts w:hint="eastAsia" w:hAnsi="宋体" w:cs="宋体"/>
          <w:kern w:val="0"/>
          <w:szCs w:val="24"/>
        </w:rPr>
        <w:t>。评标委员会对满足比选文件实质性要求的比选申请文件，按照本章规定的评分标准进行打分，并按得分由高到低顺序推荐中选候选人，但投标报价低于其成本的除外。综合评分相等时，评标委员会应按照评标办法前附表规定的优先次序推荐前三名中选候选人。</w:t>
      </w:r>
    </w:p>
    <w:p w14:paraId="12C9D5F4">
      <w:pPr>
        <w:pStyle w:val="15"/>
        <w:ind w:firstLine="422" w:firstLineChars="200"/>
        <w:rPr>
          <w:rFonts w:hint="eastAsia" w:hAnsi="宋体"/>
          <w:b/>
        </w:rPr>
      </w:pPr>
      <w:r>
        <w:rPr>
          <w:rFonts w:hint="eastAsia" w:hAnsi="宋体"/>
          <w:b/>
        </w:rPr>
        <w:t>二、评审标准</w:t>
      </w:r>
    </w:p>
    <w:p w14:paraId="6421AF74">
      <w:pPr>
        <w:pStyle w:val="15"/>
        <w:spacing w:line="360" w:lineRule="auto"/>
        <w:ind w:firstLine="420" w:firstLineChars="200"/>
        <w:rPr>
          <w:rFonts w:hint="eastAsia" w:hAnsi="宋体" w:cs="宋体"/>
          <w:kern w:val="0"/>
          <w:szCs w:val="24"/>
        </w:rPr>
      </w:pPr>
      <w:r>
        <w:rPr>
          <w:rFonts w:hint="eastAsia" w:hAnsi="宋体" w:cs="宋体"/>
          <w:kern w:val="0"/>
          <w:szCs w:val="24"/>
        </w:rPr>
        <w:t>1.初步评审标准</w:t>
      </w:r>
    </w:p>
    <w:p w14:paraId="7B54EFB8">
      <w:pPr>
        <w:pStyle w:val="15"/>
        <w:spacing w:line="360" w:lineRule="auto"/>
        <w:ind w:firstLine="420" w:firstLineChars="200"/>
        <w:rPr>
          <w:rFonts w:hint="eastAsia" w:hAnsi="宋体" w:cs="宋体"/>
          <w:kern w:val="0"/>
          <w:szCs w:val="24"/>
        </w:rPr>
      </w:pPr>
      <w:r>
        <w:rPr>
          <w:rFonts w:hint="eastAsia" w:hAnsi="宋体" w:cs="宋体"/>
          <w:kern w:val="0"/>
          <w:szCs w:val="24"/>
        </w:rPr>
        <w:t>1.1形式评审标准：见评标办法前附表。</w:t>
      </w:r>
    </w:p>
    <w:p w14:paraId="047D6C58">
      <w:pPr>
        <w:pStyle w:val="15"/>
        <w:spacing w:line="360" w:lineRule="auto"/>
        <w:ind w:firstLine="420" w:firstLineChars="200"/>
        <w:rPr>
          <w:rFonts w:hint="eastAsia" w:hAnsi="宋体" w:cs="宋体"/>
          <w:kern w:val="0"/>
          <w:szCs w:val="24"/>
        </w:rPr>
      </w:pPr>
      <w:r>
        <w:rPr>
          <w:rFonts w:hint="eastAsia" w:hAnsi="宋体" w:cs="宋体"/>
          <w:kern w:val="0"/>
          <w:szCs w:val="24"/>
        </w:rPr>
        <w:t>1.2 资格评审标准：见评标办法前附表。</w:t>
      </w:r>
    </w:p>
    <w:p w14:paraId="5AB2213E">
      <w:pPr>
        <w:pStyle w:val="15"/>
        <w:spacing w:line="360" w:lineRule="auto"/>
        <w:ind w:firstLine="420" w:firstLineChars="200"/>
        <w:rPr>
          <w:rFonts w:hint="eastAsia" w:hAnsi="宋体" w:cs="宋体"/>
          <w:kern w:val="0"/>
          <w:szCs w:val="24"/>
        </w:rPr>
      </w:pPr>
      <w:r>
        <w:rPr>
          <w:rFonts w:hint="eastAsia" w:hAnsi="宋体" w:cs="宋体"/>
          <w:kern w:val="0"/>
          <w:szCs w:val="24"/>
        </w:rPr>
        <w:t>1.3 响应性评审标准：见评标办法前附表。</w:t>
      </w:r>
    </w:p>
    <w:p w14:paraId="7EB226FB">
      <w:pPr>
        <w:pStyle w:val="15"/>
        <w:spacing w:line="360" w:lineRule="auto"/>
        <w:ind w:firstLine="420" w:firstLineChars="200"/>
        <w:rPr>
          <w:rFonts w:hint="eastAsia" w:hAnsi="宋体" w:cs="宋体"/>
          <w:kern w:val="0"/>
          <w:szCs w:val="24"/>
        </w:rPr>
      </w:pPr>
      <w:r>
        <w:rPr>
          <w:rFonts w:hint="eastAsia" w:hAnsi="宋体" w:cs="宋体"/>
          <w:kern w:val="0"/>
          <w:szCs w:val="24"/>
        </w:rPr>
        <w:t>2.分值构成与评分标准</w:t>
      </w:r>
    </w:p>
    <w:p w14:paraId="138E54C3">
      <w:pPr>
        <w:pStyle w:val="15"/>
        <w:spacing w:line="360" w:lineRule="auto"/>
        <w:ind w:firstLine="420" w:firstLineChars="200"/>
        <w:rPr>
          <w:rFonts w:hint="eastAsia" w:hAnsi="宋体" w:cs="宋体"/>
          <w:kern w:val="0"/>
          <w:szCs w:val="24"/>
        </w:rPr>
      </w:pPr>
      <w:r>
        <w:rPr>
          <w:rFonts w:hint="eastAsia" w:hAnsi="宋体" w:cs="宋体"/>
          <w:kern w:val="0"/>
          <w:szCs w:val="24"/>
        </w:rPr>
        <w:t>2.1分值构成</w:t>
      </w:r>
    </w:p>
    <w:p w14:paraId="56566DC4">
      <w:pPr>
        <w:pStyle w:val="15"/>
        <w:spacing w:line="360" w:lineRule="auto"/>
        <w:ind w:firstLine="420" w:firstLineChars="200"/>
        <w:rPr>
          <w:rFonts w:hint="eastAsia" w:hAnsi="宋体" w:cs="宋体"/>
          <w:kern w:val="0"/>
          <w:szCs w:val="24"/>
        </w:rPr>
      </w:pPr>
      <w:r>
        <w:rPr>
          <w:rFonts w:hint="eastAsia" w:hAnsi="宋体" w:cs="宋体"/>
          <w:kern w:val="0"/>
          <w:szCs w:val="24"/>
        </w:rPr>
        <w:t>分值构成（总分100分）：见评标办法前附表；</w:t>
      </w:r>
    </w:p>
    <w:p w14:paraId="4CBDE97F">
      <w:pPr>
        <w:pStyle w:val="15"/>
        <w:spacing w:line="360" w:lineRule="auto"/>
        <w:ind w:firstLine="420" w:firstLineChars="200"/>
        <w:rPr>
          <w:rFonts w:hint="eastAsia" w:hAnsi="宋体" w:cs="宋体"/>
          <w:kern w:val="0"/>
          <w:szCs w:val="24"/>
        </w:rPr>
      </w:pPr>
      <w:r>
        <w:rPr>
          <w:rFonts w:hint="eastAsia" w:hAnsi="宋体" w:cs="宋体"/>
          <w:kern w:val="0"/>
          <w:szCs w:val="24"/>
        </w:rPr>
        <w:t>2.2  评标基准价计算</w:t>
      </w:r>
    </w:p>
    <w:p w14:paraId="2CB37931">
      <w:pPr>
        <w:pStyle w:val="15"/>
        <w:spacing w:line="360" w:lineRule="auto"/>
        <w:ind w:firstLine="420" w:firstLineChars="200"/>
        <w:rPr>
          <w:rFonts w:hint="eastAsia" w:hAnsi="宋体" w:cs="宋体"/>
          <w:kern w:val="0"/>
          <w:szCs w:val="24"/>
        </w:rPr>
      </w:pPr>
      <w:r>
        <w:rPr>
          <w:rFonts w:hint="eastAsia" w:hAnsi="宋体" w:cs="宋体"/>
          <w:kern w:val="0"/>
          <w:szCs w:val="24"/>
        </w:rPr>
        <w:t>评标基准价计算方法：见评标办法前附表。</w:t>
      </w:r>
    </w:p>
    <w:p w14:paraId="7C3D0E49">
      <w:pPr>
        <w:pStyle w:val="15"/>
        <w:spacing w:line="360" w:lineRule="auto"/>
        <w:ind w:firstLine="420" w:firstLineChars="200"/>
        <w:rPr>
          <w:rFonts w:hint="eastAsia" w:hAnsi="宋体" w:cs="宋体"/>
          <w:kern w:val="0"/>
          <w:szCs w:val="24"/>
        </w:rPr>
      </w:pPr>
      <w:r>
        <w:rPr>
          <w:rFonts w:hint="eastAsia" w:hAnsi="宋体" w:cs="宋体"/>
          <w:kern w:val="0"/>
          <w:szCs w:val="24"/>
        </w:rPr>
        <w:t>2.3投标报价的偏差率计算</w:t>
      </w:r>
    </w:p>
    <w:p w14:paraId="4D59FD48">
      <w:pPr>
        <w:pStyle w:val="15"/>
        <w:spacing w:line="360" w:lineRule="auto"/>
        <w:ind w:firstLine="420" w:firstLineChars="200"/>
        <w:rPr>
          <w:rFonts w:hint="eastAsia" w:hAnsi="宋体" w:cs="宋体"/>
          <w:kern w:val="0"/>
          <w:szCs w:val="24"/>
        </w:rPr>
      </w:pPr>
      <w:r>
        <w:rPr>
          <w:rFonts w:hint="eastAsia" w:hAnsi="宋体" w:cs="宋体"/>
          <w:kern w:val="0"/>
          <w:szCs w:val="24"/>
        </w:rPr>
        <w:t>（1）评标价的偏差率计算公式：见评标办法前附表。</w:t>
      </w:r>
    </w:p>
    <w:p w14:paraId="10568941">
      <w:pPr>
        <w:pStyle w:val="15"/>
        <w:spacing w:line="360" w:lineRule="auto"/>
        <w:ind w:firstLine="420" w:firstLineChars="200"/>
        <w:rPr>
          <w:rFonts w:hint="eastAsia" w:hAnsi="宋体" w:cs="宋体"/>
          <w:kern w:val="0"/>
          <w:szCs w:val="24"/>
        </w:rPr>
      </w:pPr>
      <w:r>
        <w:rPr>
          <w:rFonts w:hint="eastAsia" w:hAnsi="宋体" w:cs="宋体"/>
          <w:kern w:val="0"/>
          <w:szCs w:val="24"/>
        </w:rPr>
        <w:t>（2）评标价的算术性错误修正方法：比选申请文件中的大写金额与小写金额不一致的以大写金额为准；总价金额与依据单价计算出的结果不一致的以单价金额为准修正总价但单价金额小数点有明显错误的除外。</w:t>
      </w:r>
    </w:p>
    <w:p w14:paraId="62DC2AC6">
      <w:pPr>
        <w:pStyle w:val="15"/>
        <w:spacing w:line="360" w:lineRule="auto"/>
        <w:ind w:firstLine="420" w:firstLineChars="200"/>
        <w:rPr>
          <w:rFonts w:hint="eastAsia" w:hAnsi="宋体" w:cs="宋体"/>
          <w:kern w:val="0"/>
          <w:szCs w:val="24"/>
        </w:rPr>
      </w:pPr>
      <w:r>
        <w:rPr>
          <w:rFonts w:hint="eastAsia" w:hAnsi="宋体" w:cs="宋体"/>
          <w:kern w:val="0"/>
          <w:szCs w:val="24"/>
        </w:rPr>
        <w:t>2.4评分标准</w:t>
      </w:r>
    </w:p>
    <w:p w14:paraId="3361D58E">
      <w:pPr>
        <w:pStyle w:val="15"/>
        <w:spacing w:line="360" w:lineRule="auto"/>
        <w:ind w:firstLine="420" w:firstLineChars="200"/>
        <w:rPr>
          <w:rFonts w:hint="eastAsia" w:hAnsi="宋体" w:cs="宋体"/>
          <w:kern w:val="0"/>
          <w:szCs w:val="24"/>
        </w:rPr>
      </w:pPr>
      <w:r>
        <w:rPr>
          <w:rFonts w:hint="eastAsia" w:hAnsi="宋体" w:cs="宋体"/>
          <w:kern w:val="0"/>
          <w:szCs w:val="24"/>
        </w:rPr>
        <w:t>（1）商务部分评分标准：见评标办法前附表；</w:t>
      </w:r>
    </w:p>
    <w:p w14:paraId="4B4A8A71">
      <w:pPr>
        <w:pStyle w:val="15"/>
        <w:spacing w:line="360" w:lineRule="auto"/>
        <w:ind w:firstLine="420" w:firstLineChars="200"/>
        <w:rPr>
          <w:rFonts w:hint="eastAsia" w:hAnsi="宋体" w:cs="宋体"/>
          <w:kern w:val="0"/>
          <w:szCs w:val="24"/>
        </w:rPr>
      </w:pPr>
      <w:r>
        <w:rPr>
          <w:rFonts w:hint="eastAsia" w:hAnsi="宋体" w:cs="宋体"/>
          <w:kern w:val="0"/>
          <w:szCs w:val="24"/>
        </w:rPr>
        <w:t>（2）技术部分评分标准：见评标办法前附表；</w:t>
      </w:r>
    </w:p>
    <w:p w14:paraId="05ADF36F">
      <w:pPr>
        <w:pStyle w:val="15"/>
        <w:spacing w:line="360" w:lineRule="auto"/>
        <w:ind w:firstLine="420" w:firstLineChars="200"/>
        <w:rPr>
          <w:rFonts w:hint="eastAsia" w:hAnsi="宋体" w:cs="宋体"/>
          <w:kern w:val="0"/>
          <w:szCs w:val="24"/>
        </w:rPr>
      </w:pPr>
      <w:r>
        <w:rPr>
          <w:rFonts w:hint="eastAsia" w:hAnsi="宋体" w:cs="宋体"/>
          <w:kern w:val="0"/>
          <w:szCs w:val="24"/>
        </w:rPr>
        <w:t>（3）报价部分评分标准：见评标办法前附表。</w:t>
      </w:r>
    </w:p>
    <w:p w14:paraId="7D60AFC1">
      <w:pPr>
        <w:pStyle w:val="15"/>
        <w:ind w:firstLine="422" w:firstLineChars="200"/>
        <w:rPr>
          <w:rFonts w:hint="eastAsia" w:hAnsi="宋体"/>
          <w:b/>
        </w:rPr>
      </w:pPr>
      <w:r>
        <w:rPr>
          <w:rFonts w:hint="eastAsia" w:hAnsi="宋体"/>
          <w:b/>
        </w:rPr>
        <w:t>三、评标程序</w:t>
      </w:r>
    </w:p>
    <w:p w14:paraId="0143756E">
      <w:pPr>
        <w:pStyle w:val="15"/>
        <w:spacing w:line="360" w:lineRule="auto"/>
        <w:ind w:firstLine="420" w:firstLineChars="200"/>
        <w:rPr>
          <w:rFonts w:hint="eastAsia" w:hAnsi="宋体" w:cs="宋体"/>
          <w:kern w:val="0"/>
          <w:szCs w:val="24"/>
        </w:rPr>
      </w:pPr>
      <w:r>
        <w:rPr>
          <w:rFonts w:hint="eastAsia" w:hAnsi="宋体" w:cs="宋体"/>
          <w:kern w:val="0"/>
          <w:szCs w:val="24"/>
        </w:rPr>
        <w:t>1.初步评审</w:t>
      </w:r>
    </w:p>
    <w:p w14:paraId="13FCA93F">
      <w:pPr>
        <w:pStyle w:val="15"/>
        <w:spacing w:line="360" w:lineRule="auto"/>
        <w:ind w:firstLine="420" w:firstLineChars="200"/>
        <w:rPr>
          <w:rFonts w:hint="eastAsia" w:hAnsi="宋体" w:cs="宋体"/>
          <w:kern w:val="0"/>
          <w:szCs w:val="24"/>
        </w:rPr>
      </w:pPr>
      <w:r>
        <w:rPr>
          <w:rFonts w:hint="eastAsia" w:hAnsi="宋体" w:cs="宋体"/>
          <w:kern w:val="0"/>
          <w:szCs w:val="24"/>
        </w:rPr>
        <w:t>1.1评标委员会依据本章规定的标准对比选申请文件进行初步评审（形式评审、资格评审以及响应性评审）。有一项不符合评审标准的，其投标予以否决。</w:t>
      </w:r>
    </w:p>
    <w:p w14:paraId="5EF596C6">
      <w:pPr>
        <w:pStyle w:val="15"/>
        <w:spacing w:line="360" w:lineRule="auto"/>
        <w:rPr>
          <w:rFonts w:hint="eastAsia" w:hAnsi="宋体" w:cs="宋体"/>
          <w:kern w:val="0"/>
          <w:szCs w:val="24"/>
        </w:rPr>
      </w:pPr>
      <w:r>
        <w:rPr>
          <w:rFonts w:hint="eastAsia" w:hAnsi="宋体" w:cs="宋体"/>
          <w:kern w:val="0"/>
          <w:szCs w:val="24"/>
        </w:rPr>
        <w:t xml:space="preserve">    1.2商务及技术文件详细评审</w:t>
      </w:r>
    </w:p>
    <w:p w14:paraId="0EA61AD0">
      <w:pPr>
        <w:pStyle w:val="15"/>
        <w:spacing w:line="360" w:lineRule="auto"/>
        <w:ind w:firstLine="420" w:firstLineChars="200"/>
        <w:rPr>
          <w:rFonts w:hint="eastAsia" w:hAnsi="宋体" w:cs="宋体"/>
          <w:kern w:val="0"/>
          <w:szCs w:val="24"/>
        </w:rPr>
      </w:pPr>
      <w:r>
        <w:rPr>
          <w:rFonts w:hint="eastAsia" w:hAnsi="宋体" w:cs="宋体"/>
          <w:kern w:val="0"/>
          <w:szCs w:val="24"/>
        </w:rPr>
        <w:t>2.详细评审</w:t>
      </w:r>
    </w:p>
    <w:p w14:paraId="155F5683">
      <w:pPr>
        <w:pStyle w:val="15"/>
        <w:spacing w:line="360" w:lineRule="auto"/>
        <w:ind w:firstLine="420" w:firstLineChars="200"/>
        <w:rPr>
          <w:rFonts w:hint="eastAsia" w:hAnsi="宋体" w:cs="宋体"/>
          <w:kern w:val="0"/>
          <w:szCs w:val="24"/>
        </w:rPr>
      </w:pPr>
      <w:r>
        <w:rPr>
          <w:rFonts w:hint="eastAsia" w:hAnsi="宋体" w:cs="宋体"/>
          <w:kern w:val="0"/>
          <w:szCs w:val="24"/>
        </w:rPr>
        <w:t>2.1评标委员会按评标办法前附表规定的量化因素和分值对通过初步评审的比选申请人进行打分，并计算出评估得分。</w:t>
      </w:r>
    </w:p>
    <w:p w14:paraId="058694DE">
      <w:pPr>
        <w:pStyle w:val="15"/>
        <w:spacing w:line="360" w:lineRule="auto"/>
        <w:ind w:firstLine="411" w:firstLineChars="196"/>
        <w:rPr>
          <w:rFonts w:hint="eastAsia" w:hAnsi="宋体"/>
        </w:rPr>
      </w:pPr>
      <w:r>
        <w:rPr>
          <w:rFonts w:hint="eastAsia" w:hAnsi="宋体"/>
        </w:rPr>
        <w:t>（1）按评标办法前附表规定的评审因素和分值对商务部分计算出得分A；</w:t>
      </w:r>
    </w:p>
    <w:p w14:paraId="1709C1BF">
      <w:pPr>
        <w:pStyle w:val="15"/>
        <w:spacing w:line="360" w:lineRule="auto"/>
        <w:ind w:firstLine="411" w:firstLineChars="196"/>
        <w:rPr>
          <w:rFonts w:hint="eastAsia" w:hAnsi="宋体"/>
        </w:rPr>
      </w:pPr>
      <w:r>
        <w:rPr>
          <w:rFonts w:hint="eastAsia" w:hAnsi="宋体"/>
        </w:rPr>
        <w:t>（2）按标办法前附表规定的评审因素和分值对技术部分计算出得分B；</w:t>
      </w:r>
    </w:p>
    <w:p w14:paraId="6C5A7F98">
      <w:pPr>
        <w:pStyle w:val="15"/>
        <w:spacing w:line="360" w:lineRule="auto"/>
        <w:ind w:firstLine="411" w:firstLineChars="196"/>
        <w:rPr>
          <w:rFonts w:hint="eastAsia" w:hAnsi="宋体"/>
        </w:rPr>
      </w:pPr>
      <w:r>
        <w:rPr>
          <w:rFonts w:hint="eastAsia" w:hAnsi="宋体"/>
        </w:rPr>
        <w:t>（3）按标办法前附表规定的评审因素和分值对报价部分计算出报价得分C。</w:t>
      </w:r>
    </w:p>
    <w:p w14:paraId="66DDE7CC">
      <w:pPr>
        <w:pStyle w:val="15"/>
        <w:spacing w:line="360" w:lineRule="auto"/>
        <w:ind w:firstLine="411" w:firstLineChars="196"/>
        <w:rPr>
          <w:rFonts w:hint="eastAsia" w:hAnsi="宋体"/>
        </w:rPr>
      </w:pPr>
      <w:r>
        <w:rPr>
          <w:rFonts w:hint="eastAsia" w:hAnsi="宋体"/>
        </w:rPr>
        <w:t>2.2 评分分值计算保留小数点后两位，小数点后第三位“四舍五入”。 评标委员会可以根据评标现场情况，将保留小数点位数往后顺延。</w:t>
      </w:r>
    </w:p>
    <w:p w14:paraId="6A12676E">
      <w:pPr>
        <w:pStyle w:val="15"/>
        <w:spacing w:line="360" w:lineRule="auto"/>
        <w:ind w:firstLine="411" w:firstLineChars="196"/>
        <w:rPr>
          <w:rFonts w:hint="eastAsia" w:hAnsi="宋体"/>
        </w:rPr>
      </w:pPr>
      <w:r>
        <w:rPr>
          <w:rFonts w:hint="eastAsia" w:hAnsi="宋体"/>
        </w:rPr>
        <w:t>2.3 比选申请人的商务、技术和报价得分=A+B+C</w:t>
      </w:r>
    </w:p>
    <w:p w14:paraId="5F16DD7F">
      <w:pPr>
        <w:pStyle w:val="15"/>
        <w:spacing w:line="360" w:lineRule="auto"/>
        <w:ind w:firstLine="411" w:firstLineChars="196"/>
        <w:rPr>
          <w:rFonts w:hint="eastAsia" w:hAnsi="宋体"/>
        </w:rPr>
      </w:pPr>
      <w:r>
        <w:rPr>
          <w:rFonts w:hint="eastAsia" w:hAnsi="宋体"/>
        </w:rPr>
        <w:t>2.4 评标委员会发现比选申请人的报价明显低于其他投标报价，使得其投标报价可能低于其成本的，应当要求该比选申请人作出书面说明并提供相应的证明材料。比选申请人不能合理说明或者不能提供相应证明材料的，由评标委员会认定该比选申请人以低于成本报价竞标，其比选申请文件作否决处理。</w:t>
      </w:r>
    </w:p>
    <w:p w14:paraId="0B3C389E">
      <w:pPr>
        <w:pStyle w:val="47"/>
        <w:spacing w:line="360" w:lineRule="auto"/>
        <w:rPr>
          <w:rFonts w:hint="eastAsia" w:ascii="宋体" w:hAnsi="宋体"/>
          <w:b/>
          <w:kern w:val="2"/>
        </w:rPr>
      </w:pPr>
      <w:r>
        <w:rPr>
          <w:rFonts w:hint="eastAsia" w:ascii="宋体" w:hAnsi="宋体"/>
          <w:b/>
          <w:kern w:val="2"/>
        </w:rPr>
        <w:t xml:space="preserve"> 四、比选申请文件的澄清和说明</w:t>
      </w:r>
    </w:p>
    <w:p w14:paraId="2054B2F5">
      <w:pPr>
        <w:autoSpaceDE w:val="0"/>
        <w:autoSpaceDN w:val="0"/>
        <w:spacing w:line="360" w:lineRule="auto"/>
        <w:ind w:firstLine="420" w:firstLineChars="200"/>
        <w:rPr>
          <w:rFonts w:hint="eastAsia" w:ascii="宋体" w:hAnsi="宋体"/>
          <w:szCs w:val="21"/>
        </w:rPr>
      </w:pPr>
      <w:r>
        <w:rPr>
          <w:rFonts w:hint="eastAsia" w:ascii="宋体" w:hAnsi="宋体"/>
          <w:szCs w:val="21"/>
        </w:rPr>
        <w:t>1.在评标过程中，评标委员会可以书面形式要求比选申请人对所提交比选申请文件中含义不明确的内容、明显文字或者计算错误进行书面澄清或说明。评标委员会不接受比选申请人主动提出的澄清、说明。比选申请人不按评标委员会要求澄清或说明的，评标委员会应否决其投标。</w:t>
      </w:r>
    </w:p>
    <w:p w14:paraId="6C622543">
      <w:pPr>
        <w:autoSpaceDE w:val="0"/>
        <w:autoSpaceDN w:val="0"/>
        <w:spacing w:line="360" w:lineRule="auto"/>
        <w:ind w:firstLine="420" w:firstLineChars="200"/>
        <w:rPr>
          <w:rFonts w:hint="eastAsia" w:ascii="宋体" w:hAnsi="宋体"/>
          <w:szCs w:val="21"/>
        </w:rPr>
      </w:pPr>
      <w:r>
        <w:rPr>
          <w:rFonts w:hint="eastAsia" w:ascii="宋体" w:hAnsi="宋体"/>
          <w:szCs w:val="21"/>
        </w:rPr>
        <w:t>2.澄清和说明不得超出比选申请文件的范围或者改变比选申请文件的实质性内容(算术性错误修正的除外)。比选申请人的书面澄清、说明属于比选申请文件的组成部分。</w:t>
      </w:r>
    </w:p>
    <w:p w14:paraId="0C3C6764">
      <w:pPr>
        <w:autoSpaceDE w:val="0"/>
        <w:autoSpaceDN w:val="0"/>
        <w:spacing w:line="360" w:lineRule="auto"/>
        <w:ind w:firstLine="420" w:firstLineChars="200"/>
        <w:rPr>
          <w:rFonts w:hint="eastAsia" w:ascii="宋体" w:hAnsi="宋体"/>
          <w:szCs w:val="21"/>
        </w:rPr>
      </w:pPr>
      <w:r>
        <w:rPr>
          <w:rFonts w:hint="eastAsia" w:ascii="宋体" w:hAnsi="宋体"/>
          <w:szCs w:val="21"/>
        </w:rPr>
        <w:t>3.评标委员会不得暗示或者诱导比选申请人作出澄清、说明，对比选申请人提交的澄清、说明有疑问的，可以要求比选申请人进一步澄清或说明，直至满足评标委员会的要求。</w:t>
      </w:r>
    </w:p>
    <w:p w14:paraId="0457181C">
      <w:pPr>
        <w:pStyle w:val="15"/>
        <w:spacing w:line="360" w:lineRule="auto"/>
        <w:ind w:firstLine="411" w:firstLineChars="196"/>
        <w:rPr>
          <w:rFonts w:hint="eastAsia" w:hAnsi="宋体"/>
        </w:rPr>
      </w:pPr>
      <w:r>
        <w:rPr>
          <w:rFonts w:hint="eastAsia" w:hAnsi="宋体"/>
        </w:rPr>
        <w:t>4.凡超出比选文件规定的或给发包人带来未曾要求的利益的变化、偏差或其他因素在评标时不予考虑。</w:t>
      </w:r>
    </w:p>
    <w:p w14:paraId="1C44A72A">
      <w:pPr>
        <w:pStyle w:val="15"/>
        <w:spacing w:line="360" w:lineRule="auto"/>
        <w:ind w:firstLine="422" w:firstLineChars="200"/>
        <w:rPr>
          <w:rFonts w:hint="eastAsia" w:hAnsi="宋体"/>
          <w:b/>
        </w:rPr>
      </w:pPr>
      <w:r>
        <w:rPr>
          <w:rFonts w:hint="eastAsia" w:hAnsi="宋体"/>
          <w:b/>
        </w:rPr>
        <w:t>五、否决投标</w:t>
      </w:r>
    </w:p>
    <w:p w14:paraId="10CDCA8E">
      <w:pPr>
        <w:pStyle w:val="15"/>
        <w:spacing w:line="360" w:lineRule="auto"/>
        <w:ind w:firstLine="411" w:firstLineChars="196"/>
        <w:rPr>
          <w:rFonts w:hint="eastAsia" w:hAnsi="宋体"/>
        </w:rPr>
      </w:pPr>
      <w:r>
        <w:rPr>
          <w:rFonts w:hint="eastAsia" w:hAnsi="宋体"/>
        </w:rPr>
        <w:t>本章评标办法中未列明的要求，均不得作为否决投标的条件。</w:t>
      </w:r>
    </w:p>
    <w:p w14:paraId="41E06A53">
      <w:pPr>
        <w:pStyle w:val="15"/>
        <w:spacing w:line="360" w:lineRule="auto"/>
        <w:ind w:firstLine="422" w:firstLineChars="200"/>
        <w:rPr>
          <w:rFonts w:hint="eastAsia" w:hAnsi="宋体"/>
          <w:b/>
        </w:rPr>
      </w:pPr>
      <w:r>
        <w:rPr>
          <w:rFonts w:hint="eastAsia" w:hAnsi="宋体"/>
          <w:b/>
        </w:rPr>
        <w:t>六、评标结果</w:t>
      </w:r>
    </w:p>
    <w:p w14:paraId="595BC998">
      <w:pPr>
        <w:pStyle w:val="15"/>
        <w:spacing w:line="360" w:lineRule="auto"/>
        <w:ind w:firstLine="420" w:firstLineChars="200"/>
        <w:rPr>
          <w:rFonts w:hint="eastAsia" w:hAnsi="宋体"/>
        </w:rPr>
      </w:pPr>
      <w:r>
        <w:rPr>
          <w:rFonts w:hint="eastAsia" w:hAnsi="宋体"/>
        </w:rPr>
        <w:t>1.评标委员会将按照评标办法前附表内容推荐中选候选人。</w:t>
      </w:r>
    </w:p>
    <w:p w14:paraId="3151A516">
      <w:pPr>
        <w:pStyle w:val="15"/>
        <w:spacing w:line="360" w:lineRule="auto"/>
        <w:ind w:firstLine="420" w:firstLineChars="200"/>
        <w:rPr>
          <w:rFonts w:hint="eastAsia" w:hAnsi="宋体"/>
        </w:rPr>
      </w:pPr>
      <w:r>
        <w:rPr>
          <w:rFonts w:hint="eastAsia" w:hAnsi="宋体"/>
        </w:rPr>
        <w:t>2.评标委员会完成评标后，应当向比选人提交书面评标报告。</w:t>
      </w:r>
      <w:bookmarkEnd w:id="31"/>
      <w:bookmarkStart w:id="33" w:name="_Toc496658008"/>
    </w:p>
    <w:p w14:paraId="243700CE">
      <w:pPr>
        <w:pStyle w:val="15"/>
        <w:spacing w:line="360" w:lineRule="auto"/>
        <w:ind w:firstLine="420" w:firstLineChars="200"/>
        <w:rPr>
          <w:rFonts w:hint="eastAsia" w:hAnsi="宋体"/>
        </w:rPr>
      </w:pPr>
    </w:p>
    <w:p w14:paraId="6D26A112">
      <w:pPr>
        <w:pStyle w:val="15"/>
        <w:spacing w:line="360" w:lineRule="auto"/>
        <w:ind w:firstLine="420" w:firstLineChars="200"/>
        <w:rPr>
          <w:rFonts w:hint="eastAsia" w:hAnsi="宋体"/>
        </w:rPr>
      </w:pPr>
    </w:p>
    <w:p w14:paraId="7DFE1F41">
      <w:pPr>
        <w:pStyle w:val="15"/>
        <w:spacing w:line="360" w:lineRule="auto"/>
        <w:ind w:firstLine="420" w:firstLineChars="200"/>
        <w:rPr>
          <w:rFonts w:hint="eastAsia" w:hAnsi="宋体"/>
        </w:rPr>
      </w:pPr>
    </w:p>
    <w:p w14:paraId="2129239E">
      <w:pPr>
        <w:pStyle w:val="5"/>
        <w:keepLines/>
        <w:spacing w:line="360" w:lineRule="auto"/>
        <w:jc w:val="center"/>
        <w:rPr>
          <w:rFonts w:hint="eastAsia" w:ascii="宋体" w:hAnsi="宋体"/>
          <w:b/>
          <w:bCs/>
          <w:kern w:val="44"/>
          <w:sz w:val="44"/>
          <w:szCs w:val="44"/>
          <w:u w:val="none"/>
        </w:rPr>
      </w:pPr>
      <w:bookmarkStart w:id="34" w:name="_Toc10526"/>
      <w:bookmarkStart w:id="35" w:name="_Toc19411"/>
      <w:bookmarkStart w:id="36" w:name="_Toc20201"/>
      <w:bookmarkStart w:id="37" w:name="_Toc21410"/>
      <w:r>
        <w:rPr>
          <w:rFonts w:hint="eastAsia" w:ascii="宋体" w:hAnsi="宋体"/>
          <w:b/>
          <w:bCs/>
          <w:kern w:val="44"/>
          <w:sz w:val="44"/>
          <w:szCs w:val="44"/>
          <w:u w:val="none"/>
        </w:rPr>
        <w:t>第四章 设备标准和要求</w:t>
      </w:r>
      <w:bookmarkEnd w:id="34"/>
      <w:bookmarkEnd w:id="35"/>
      <w:bookmarkEnd w:id="36"/>
      <w:bookmarkEnd w:id="37"/>
    </w:p>
    <w:p w14:paraId="42483A57">
      <w:pPr>
        <w:pStyle w:val="15"/>
        <w:spacing w:line="360" w:lineRule="auto"/>
        <w:ind w:firstLine="422" w:firstLineChars="200"/>
        <w:rPr>
          <w:rFonts w:hint="eastAsia" w:hAnsi="宋体"/>
          <w:b/>
        </w:rPr>
      </w:pPr>
      <w:r>
        <w:rPr>
          <w:rFonts w:hAnsi="宋体"/>
          <w:b/>
        </w:rPr>
        <w:t>一、规范要求</w:t>
      </w:r>
    </w:p>
    <w:p w14:paraId="67F3028E">
      <w:pPr>
        <w:autoSpaceDE w:val="0"/>
        <w:autoSpaceDN w:val="0"/>
        <w:spacing w:line="360" w:lineRule="auto"/>
        <w:ind w:firstLine="420" w:firstLineChars="200"/>
        <w:rPr>
          <w:rFonts w:hint="eastAsia" w:ascii="宋体" w:hAnsi="宋体"/>
          <w:szCs w:val="21"/>
        </w:rPr>
      </w:pPr>
      <w:r>
        <w:rPr>
          <w:rFonts w:hint="eastAsia" w:ascii="宋体" w:hAnsi="宋体"/>
          <w:szCs w:val="21"/>
        </w:rPr>
        <w:t>供应的充电堆设备（材料）应符合最新颁布的国家或行业、地方颁布的标准及规范，包括但不限于：</w:t>
      </w:r>
    </w:p>
    <w:p w14:paraId="70B5F174">
      <w:pPr>
        <w:autoSpaceDE w:val="0"/>
        <w:autoSpaceDN w:val="0"/>
        <w:spacing w:line="360" w:lineRule="auto"/>
        <w:ind w:firstLine="420" w:firstLineChars="200"/>
        <w:rPr>
          <w:rFonts w:hint="eastAsia" w:ascii="宋体" w:hAnsi="宋体"/>
          <w:szCs w:val="21"/>
        </w:rPr>
      </w:pPr>
      <w:r>
        <w:rPr>
          <w:rFonts w:hint="eastAsia" w:ascii="宋体" w:hAnsi="宋体"/>
          <w:szCs w:val="21"/>
        </w:rPr>
        <w:t>《供配电系统设计规范》GB50050；</w:t>
      </w:r>
    </w:p>
    <w:p w14:paraId="0EFCD040">
      <w:pPr>
        <w:autoSpaceDE w:val="0"/>
        <w:autoSpaceDN w:val="0"/>
        <w:spacing w:line="360" w:lineRule="auto"/>
        <w:ind w:firstLine="420" w:firstLineChars="200"/>
        <w:rPr>
          <w:rFonts w:hint="eastAsia" w:ascii="宋体" w:hAnsi="宋体"/>
          <w:szCs w:val="21"/>
        </w:rPr>
      </w:pPr>
      <w:r>
        <w:rPr>
          <w:rFonts w:hint="eastAsia" w:ascii="宋体" w:hAnsi="宋体"/>
          <w:szCs w:val="21"/>
        </w:rPr>
        <w:t>《低压配电设计规范》GB50054；</w:t>
      </w:r>
    </w:p>
    <w:p w14:paraId="13CDEA50">
      <w:pPr>
        <w:autoSpaceDE w:val="0"/>
        <w:autoSpaceDN w:val="0"/>
        <w:spacing w:line="360" w:lineRule="auto"/>
        <w:ind w:firstLine="360" w:firstLineChars="200"/>
        <w:rPr>
          <w:rFonts w:hint="eastAsia" w:ascii="宋体" w:hAnsi="宋体"/>
          <w:szCs w:val="21"/>
        </w:rPr>
      </w:pPr>
      <w:r>
        <w:rPr>
          <w:rStyle w:val="66"/>
          <w:rFonts w:hint="default"/>
          <w:lang w:bidi="ar"/>
        </w:rPr>
        <w:t>工作环境</w:t>
      </w:r>
      <w:r>
        <w:rPr>
          <w:rFonts w:hint="eastAsia" w:ascii="宋体" w:hAnsi="宋体"/>
          <w:szCs w:val="21"/>
        </w:rPr>
        <w:t>《电动汽车传导充电系统第一部分：通用要求》</w:t>
      </w:r>
      <w:r>
        <w:rPr>
          <w:rFonts w:ascii="宋体" w:hAnsi="宋体"/>
          <w:szCs w:val="21"/>
        </w:rPr>
        <w:t>GB/T18</w:t>
      </w:r>
      <w:r>
        <w:rPr>
          <w:rFonts w:hint="eastAsia" w:ascii="宋体" w:hAnsi="宋体"/>
          <w:szCs w:val="21"/>
        </w:rPr>
        <w:t>4</w:t>
      </w:r>
      <w:r>
        <w:rPr>
          <w:rFonts w:ascii="宋体" w:hAnsi="宋体"/>
          <w:szCs w:val="21"/>
        </w:rPr>
        <w:t>87.1</w:t>
      </w:r>
      <w:r>
        <w:rPr>
          <w:rFonts w:hint="eastAsia" w:ascii="宋体" w:hAnsi="宋体"/>
          <w:szCs w:val="21"/>
        </w:rPr>
        <w:t>；</w:t>
      </w:r>
    </w:p>
    <w:p w14:paraId="5DA2C857">
      <w:pPr>
        <w:autoSpaceDE w:val="0"/>
        <w:autoSpaceDN w:val="0"/>
        <w:spacing w:line="360" w:lineRule="auto"/>
        <w:ind w:firstLine="420" w:firstLineChars="200"/>
        <w:rPr>
          <w:rFonts w:hint="eastAsia" w:ascii="宋体" w:hAnsi="宋体"/>
          <w:szCs w:val="21"/>
        </w:rPr>
      </w:pPr>
      <w:r>
        <w:rPr>
          <w:rFonts w:hint="eastAsia" w:ascii="宋体" w:hAnsi="宋体"/>
          <w:szCs w:val="21"/>
        </w:rPr>
        <w:t>《电动汽车非车载传导式充电机与电池管理系统之间的通信协议》</w:t>
      </w:r>
      <w:r>
        <w:rPr>
          <w:rFonts w:ascii="宋体" w:hAnsi="宋体"/>
          <w:szCs w:val="21"/>
        </w:rPr>
        <w:t>GB/T</w:t>
      </w:r>
      <w:r>
        <w:rPr>
          <w:rFonts w:hint="eastAsia" w:ascii="宋体" w:hAnsi="宋体"/>
          <w:szCs w:val="21"/>
        </w:rPr>
        <w:t>27930；</w:t>
      </w:r>
    </w:p>
    <w:p w14:paraId="48ECA42C">
      <w:pPr>
        <w:autoSpaceDE w:val="0"/>
        <w:autoSpaceDN w:val="0"/>
        <w:spacing w:line="360" w:lineRule="auto"/>
        <w:ind w:firstLine="420" w:firstLineChars="200"/>
        <w:rPr>
          <w:rFonts w:hint="eastAsia" w:ascii="宋体" w:hAnsi="宋体"/>
          <w:szCs w:val="21"/>
        </w:rPr>
      </w:pPr>
      <w:r>
        <w:rPr>
          <w:rFonts w:hint="eastAsia" w:ascii="宋体" w:hAnsi="宋体"/>
          <w:szCs w:val="21"/>
        </w:rPr>
        <w:t>《电动汽车传导充电用连接装置第一部分：通用要求》</w:t>
      </w:r>
      <w:r>
        <w:rPr>
          <w:rFonts w:ascii="宋体" w:hAnsi="宋体"/>
          <w:szCs w:val="21"/>
        </w:rPr>
        <w:t>GB/T20234.1</w:t>
      </w:r>
      <w:r>
        <w:rPr>
          <w:rFonts w:hint="eastAsia" w:ascii="宋体" w:hAnsi="宋体"/>
          <w:szCs w:val="21"/>
        </w:rPr>
        <w:t>；</w:t>
      </w:r>
    </w:p>
    <w:p w14:paraId="3962FB69">
      <w:pPr>
        <w:autoSpaceDE w:val="0"/>
        <w:autoSpaceDN w:val="0"/>
        <w:spacing w:line="360" w:lineRule="auto"/>
        <w:ind w:firstLine="420" w:firstLineChars="200"/>
        <w:rPr>
          <w:rFonts w:hint="eastAsia" w:ascii="宋体" w:hAnsi="宋体"/>
          <w:szCs w:val="21"/>
        </w:rPr>
      </w:pPr>
      <w:r>
        <w:rPr>
          <w:rFonts w:hint="eastAsia" w:ascii="宋体" w:hAnsi="宋体"/>
          <w:szCs w:val="21"/>
        </w:rPr>
        <w:t>《电动汽车传导充电用连接装置第三部分：直流充电接口》</w:t>
      </w:r>
      <w:r>
        <w:rPr>
          <w:rFonts w:ascii="宋体" w:hAnsi="宋体"/>
          <w:szCs w:val="21"/>
        </w:rPr>
        <w:t>GB/T20234.3</w:t>
      </w:r>
      <w:r>
        <w:rPr>
          <w:rFonts w:hint="eastAsia" w:ascii="宋体" w:hAnsi="宋体"/>
          <w:szCs w:val="21"/>
        </w:rPr>
        <w:t>；</w:t>
      </w:r>
    </w:p>
    <w:p w14:paraId="2553B34D">
      <w:pPr>
        <w:autoSpaceDE w:val="0"/>
        <w:autoSpaceDN w:val="0"/>
        <w:spacing w:line="360" w:lineRule="auto"/>
        <w:ind w:firstLine="420" w:firstLineChars="200"/>
        <w:rPr>
          <w:rFonts w:hint="eastAsia" w:ascii="宋体" w:hAnsi="宋体"/>
          <w:szCs w:val="21"/>
        </w:rPr>
      </w:pPr>
      <w:r>
        <w:rPr>
          <w:rFonts w:hint="eastAsia" w:ascii="宋体" w:hAnsi="宋体"/>
          <w:szCs w:val="21"/>
        </w:rPr>
        <w:t>以及其他有关国家及地方、行业的现行规程和规范。</w:t>
      </w:r>
    </w:p>
    <w:p w14:paraId="171267BE">
      <w:pPr>
        <w:pStyle w:val="15"/>
        <w:spacing w:line="360" w:lineRule="auto"/>
        <w:ind w:firstLine="422"/>
        <w:rPr>
          <w:rFonts w:hint="eastAsia" w:hAnsi="宋体"/>
          <w:b/>
        </w:rPr>
      </w:pPr>
      <w:r>
        <w:rPr>
          <w:rFonts w:hint="eastAsia" w:hAnsi="宋体"/>
          <w:b/>
        </w:rPr>
        <w:t>二、充电堆</w:t>
      </w:r>
      <w:r>
        <w:rPr>
          <w:rFonts w:hAnsi="宋体"/>
          <w:b/>
        </w:rPr>
        <w:t>设备参数要求</w:t>
      </w:r>
    </w:p>
    <w:p w14:paraId="3822A48A">
      <w:pPr>
        <w:autoSpaceDE w:val="0"/>
        <w:autoSpaceDN w:val="0"/>
        <w:spacing w:line="360" w:lineRule="auto"/>
        <w:ind w:firstLine="420" w:firstLineChars="200"/>
        <w:rPr>
          <w:rFonts w:hint="eastAsia" w:ascii="宋体" w:hAnsi="宋体"/>
          <w:szCs w:val="21"/>
        </w:rPr>
      </w:pPr>
      <w:r>
        <w:rPr>
          <w:rFonts w:hint="eastAsia" w:ascii="宋体" w:hAnsi="宋体"/>
          <w:szCs w:val="21"/>
        </w:rPr>
        <w:t>电动汽车直流充电机须满足电工电子产品及电动汽车充电机相关的现行规范、标准和法规。</w:t>
      </w:r>
    </w:p>
    <w:p w14:paraId="240F04AC">
      <w:pPr>
        <w:widowControl/>
        <w:autoSpaceDE w:val="0"/>
        <w:autoSpaceDN w:val="0"/>
        <w:spacing w:line="360" w:lineRule="auto"/>
        <w:jc w:val="center"/>
        <w:rPr>
          <w:rFonts w:hint="eastAsia" w:ascii="宋体" w:hAnsi="宋体"/>
          <w:szCs w:val="21"/>
        </w:rPr>
      </w:pPr>
      <w:r>
        <w:rPr>
          <w:rFonts w:hint="eastAsia" w:ascii="宋体" w:hAnsi="宋体"/>
          <w:szCs w:val="21"/>
        </w:rPr>
        <w:t>480KW充电堆</w:t>
      </w:r>
      <w:r>
        <w:rPr>
          <w:rFonts w:ascii="宋体" w:hAnsi="宋体"/>
          <w:szCs w:val="21"/>
        </w:rPr>
        <w:t>设备技术</w:t>
      </w:r>
      <w:r>
        <w:rPr>
          <w:rFonts w:hint="eastAsia" w:ascii="宋体" w:hAnsi="宋体"/>
          <w:szCs w:val="21"/>
        </w:rPr>
        <w:t>性能指标</w:t>
      </w:r>
      <w:r>
        <w:rPr>
          <w:rFonts w:ascii="宋体" w:hAnsi="宋体"/>
          <w:szCs w:val="21"/>
        </w:rPr>
        <w:t>要求</w:t>
      </w:r>
    </w:p>
    <w:tbl>
      <w:tblPr>
        <w:tblStyle w:val="26"/>
        <w:tblW w:w="8209" w:type="dxa"/>
        <w:tblInd w:w="96" w:type="dxa"/>
        <w:tblLayout w:type="autofit"/>
        <w:tblCellMar>
          <w:top w:w="0" w:type="dxa"/>
          <w:left w:w="108" w:type="dxa"/>
          <w:bottom w:w="0" w:type="dxa"/>
          <w:right w:w="108" w:type="dxa"/>
        </w:tblCellMar>
      </w:tblPr>
      <w:tblGrid>
        <w:gridCol w:w="1356"/>
        <w:gridCol w:w="1764"/>
        <w:gridCol w:w="5089"/>
      </w:tblGrid>
      <w:tr w14:paraId="6B2B6FF7">
        <w:tblPrEx>
          <w:tblCellMar>
            <w:top w:w="0" w:type="dxa"/>
            <w:left w:w="108" w:type="dxa"/>
            <w:bottom w:w="0" w:type="dxa"/>
            <w:right w:w="108" w:type="dxa"/>
          </w:tblCellMar>
        </w:tblPrEx>
        <w:trPr>
          <w:trHeight w:val="400" w:hRule="atLeast"/>
        </w:trPr>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F959">
            <w:pPr>
              <w:widowControl/>
              <w:jc w:val="center"/>
              <w:textAlignment w:val="center"/>
              <w:rPr>
                <w:rFonts w:hint="eastAsia" w:ascii="宋体" w:hAnsi="宋体" w:cs="宋体"/>
                <w:color w:val="000000"/>
                <w:sz w:val="18"/>
                <w:szCs w:val="18"/>
              </w:rPr>
            </w:pPr>
            <w:r>
              <w:rPr>
                <w:rStyle w:val="66"/>
                <w:rFonts w:hint="default"/>
                <w:lang w:bidi="ar"/>
              </w:rPr>
              <w:t>规格类别</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B462">
            <w:pPr>
              <w:widowControl/>
              <w:jc w:val="left"/>
              <w:textAlignment w:val="center"/>
              <w:rPr>
                <w:rFonts w:hint="eastAsia" w:ascii="宋体" w:hAnsi="宋体" w:cs="宋体"/>
                <w:color w:val="000000"/>
                <w:sz w:val="18"/>
                <w:szCs w:val="18"/>
              </w:rPr>
            </w:pPr>
            <w:r>
              <w:rPr>
                <w:rStyle w:val="66"/>
                <w:rFonts w:hint="default"/>
                <w:lang w:bidi="ar"/>
              </w:rPr>
              <w:t>规格名称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E08E">
            <w:pPr>
              <w:widowControl/>
              <w:jc w:val="left"/>
              <w:textAlignment w:val="center"/>
              <w:rPr>
                <w:rFonts w:hint="eastAsia" w:ascii="宋体" w:hAnsi="宋体" w:cs="宋体"/>
                <w:color w:val="000000"/>
                <w:sz w:val="18"/>
                <w:szCs w:val="18"/>
              </w:rPr>
            </w:pPr>
            <w:r>
              <w:rPr>
                <w:rStyle w:val="66"/>
                <w:rFonts w:hint="default"/>
                <w:lang w:bidi="ar"/>
              </w:rPr>
              <w:t>技术性能指标描述</w:t>
            </w:r>
          </w:p>
        </w:tc>
      </w:tr>
      <w:tr w14:paraId="21F1188C">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34266">
            <w:pPr>
              <w:widowControl/>
              <w:jc w:val="center"/>
              <w:textAlignment w:val="center"/>
              <w:rPr>
                <w:rFonts w:hint="eastAsia" w:ascii="宋体" w:hAnsi="宋体" w:cs="宋体"/>
                <w:color w:val="000000"/>
                <w:sz w:val="18"/>
                <w:szCs w:val="18"/>
              </w:rPr>
            </w:pPr>
            <w:r>
              <w:rPr>
                <w:rStyle w:val="66"/>
                <w:rFonts w:hint="default"/>
                <w:lang w:bidi="ar"/>
              </w:rPr>
              <w:t>工作环境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4401">
            <w:pPr>
              <w:widowControl/>
              <w:jc w:val="left"/>
              <w:textAlignment w:val="center"/>
              <w:rPr>
                <w:rFonts w:hint="eastAsia" w:ascii="宋体" w:hAnsi="宋体" w:cs="宋体"/>
                <w:color w:val="000000"/>
                <w:sz w:val="18"/>
                <w:szCs w:val="18"/>
              </w:rPr>
            </w:pPr>
            <w:r>
              <w:rPr>
                <w:rStyle w:val="66"/>
                <w:rFonts w:hint="default"/>
                <w:lang w:bidi="ar"/>
              </w:rPr>
              <w:t>工作温度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CB6E">
            <w:pPr>
              <w:widowControl/>
              <w:jc w:val="left"/>
              <w:textAlignment w:val="center"/>
              <w:rPr>
                <w:rFonts w:hint="eastAsia" w:ascii="宋体" w:hAnsi="宋体" w:cs="宋体"/>
                <w:color w:val="000000"/>
                <w:sz w:val="18"/>
                <w:szCs w:val="18"/>
              </w:rPr>
            </w:pPr>
            <w:r>
              <w:rPr>
                <w:rStyle w:val="66"/>
                <w:rFonts w:hint="default"/>
                <w:lang w:bidi="ar"/>
              </w:rPr>
              <w:t>-25～+65℃（55℃以上降额）</w:t>
            </w:r>
          </w:p>
        </w:tc>
      </w:tr>
      <w:tr w14:paraId="590ED582">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787A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E95E">
            <w:pPr>
              <w:widowControl/>
              <w:jc w:val="left"/>
              <w:textAlignment w:val="center"/>
              <w:rPr>
                <w:rFonts w:hint="eastAsia" w:ascii="宋体" w:hAnsi="宋体" w:cs="宋体"/>
                <w:color w:val="000000"/>
                <w:sz w:val="18"/>
                <w:szCs w:val="18"/>
              </w:rPr>
            </w:pPr>
            <w:r>
              <w:rPr>
                <w:rStyle w:val="66"/>
                <w:rFonts w:hint="default"/>
                <w:lang w:bidi="ar"/>
              </w:rPr>
              <w:t>海拔高度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75BE">
            <w:pPr>
              <w:widowControl/>
              <w:jc w:val="left"/>
              <w:textAlignment w:val="center"/>
              <w:rPr>
                <w:rFonts w:hint="eastAsia" w:ascii="宋体" w:hAnsi="宋体" w:cs="宋体"/>
                <w:color w:val="000000"/>
                <w:sz w:val="18"/>
                <w:szCs w:val="18"/>
              </w:rPr>
            </w:pPr>
            <w:r>
              <w:rPr>
                <w:rStyle w:val="66"/>
                <w:rFonts w:hint="default"/>
                <w:lang w:bidi="ar"/>
              </w:rPr>
              <w:t>&lt;2000米，2000米以上降额使用</w:t>
            </w:r>
          </w:p>
        </w:tc>
      </w:tr>
      <w:tr w14:paraId="009FB33F">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1D41D">
            <w:pPr>
              <w:widowControl/>
              <w:jc w:val="center"/>
              <w:textAlignment w:val="center"/>
              <w:rPr>
                <w:rFonts w:hint="eastAsia" w:ascii="宋体" w:hAnsi="宋体" w:cs="宋体"/>
                <w:color w:val="000000"/>
                <w:sz w:val="18"/>
                <w:szCs w:val="18"/>
              </w:rPr>
            </w:pPr>
            <w:r>
              <w:rPr>
                <w:rStyle w:val="66"/>
                <w:rFonts w:hint="default"/>
                <w:lang w:bidi="ar"/>
              </w:rPr>
              <w:t>防护要求</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27FE">
            <w:pPr>
              <w:widowControl/>
              <w:jc w:val="left"/>
              <w:textAlignment w:val="center"/>
              <w:rPr>
                <w:rFonts w:hint="eastAsia" w:ascii="宋体" w:hAnsi="宋体" w:cs="宋体"/>
                <w:color w:val="000000"/>
                <w:sz w:val="18"/>
                <w:szCs w:val="18"/>
              </w:rPr>
            </w:pPr>
            <w:r>
              <w:rPr>
                <w:rStyle w:val="66"/>
                <w:rFonts w:hint="default"/>
                <w:lang w:bidi="ar"/>
              </w:rPr>
              <w:t>防护等级</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EB60">
            <w:pPr>
              <w:widowControl/>
              <w:jc w:val="left"/>
              <w:textAlignment w:val="center"/>
              <w:rPr>
                <w:rFonts w:hint="eastAsia" w:ascii="宋体" w:hAnsi="宋体" w:cs="宋体"/>
                <w:color w:val="000000"/>
                <w:sz w:val="18"/>
                <w:szCs w:val="18"/>
              </w:rPr>
            </w:pPr>
            <w:r>
              <w:rPr>
                <w:rStyle w:val="66"/>
                <w:rFonts w:hint="default"/>
                <w:lang w:bidi="ar"/>
              </w:rPr>
              <w:t>IP54</w:t>
            </w:r>
          </w:p>
        </w:tc>
      </w:tr>
      <w:tr w14:paraId="7AF6C650">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C249F">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AC19">
            <w:pPr>
              <w:widowControl/>
              <w:jc w:val="left"/>
              <w:textAlignment w:val="center"/>
              <w:rPr>
                <w:rFonts w:hint="eastAsia" w:ascii="宋体" w:hAnsi="宋体" w:cs="宋体"/>
                <w:color w:val="000000"/>
                <w:sz w:val="18"/>
                <w:szCs w:val="18"/>
              </w:rPr>
            </w:pPr>
            <w:r>
              <w:rPr>
                <w:rStyle w:val="66"/>
                <w:rFonts w:hint="default"/>
                <w:lang w:bidi="ar"/>
              </w:rPr>
              <w:t>噪声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133C">
            <w:pPr>
              <w:widowControl/>
              <w:jc w:val="left"/>
              <w:textAlignment w:val="center"/>
              <w:rPr>
                <w:rFonts w:hint="eastAsia" w:ascii="宋体" w:hAnsi="宋体" w:cs="宋体"/>
                <w:color w:val="000000"/>
                <w:sz w:val="18"/>
                <w:szCs w:val="18"/>
              </w:rPr>
            </w:pPr>
            <w:r>
              <w:rPr>
                <w:rStyle w:val="66"/>
                <w:rFonts w:hint="default"/>
                <w:lang w:bidi="ar"/>
              </w:rPr>
              <w:t xml:space="preserve">≤ </w:t>
            </w:r>
            <w:r>
              <w:rPr>
                <w:rStyle w:val="66"/>
                <w:rFonts w:hint="eastAsia"/>
                <w:lang w:val="en-US" w:eastAsia="zh-CN" w:bidi="ar"/>
              </w:rPr>
              <w:t>65</w:t>
            </w:r>
            <w:r>
              <w:rPr>
                <w:rStyle w:val="66"/>
                <w:rFonts w:hint="default"/>
                <w:lang w:bidi="ar"/>
              </w:rPr>
              <w:t>dB</w:t>
            </w:r>
          </w:p>
        </w:tc>
      </w:tr>
      <w:tr w14:paraId="0FAC5417">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2E7AB">
            <w:pPr>
              <w:widowControl/>
              <w:jc w:val="center"/>
              <w:textAlignment w:val="center"/>
              <w:rPr>
                <w:rFonts w:hint="eastAsia" w:ascii="宋体" w:hAnsi="宋体" w:cs="宋体"/>
                <w:color w:val="000000"/>
                <w:sz w:val="18"/>
                <w:szCs w:val="18"/>
              </w:rPr>
            </w:pPr>
            <w:r>
              <w:rPr>
                <w:rStyle w:val="66"/>
                <w:rFonts w:hint="default"/>
                <w:lang w:bidi="ar"/>
              </w:rPr>
              <w:t>交流输入</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67A9">
            <w:pPr>
              <w:widowControl/>
              <w:jc w:val="left"/>
              <w:textAlignment w:val="center"/>
              <w:rPr>
                <w:rFonts w:hint="eastAsia" w:ascii="宋体" w:hAnsi="宋体" w:cs="宋体"/>
                <w:color w:val="000000"/>
                <w:sz w:val="18"/>
                <w:szCs w:val="18"/>
              </w:rPr>
            </w:pPr>
            <w:r>
              <w:rPr>
                <w:rStyle w:val="66"/>
                <w:rFonts w:hint="default"/>
                <w:lang w:bidi="ar"/>
              </w:rPr>
              <w:t>输入制式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7E63">
            <w:pPr>
              <w:widowControl/>
              <w:jc w:val="left"/>
              <w:textAlignment w:val="center"/>
              <w:rPr>
                <w:rFonts w:hint="eastAsia" w:ascii="宋体" w:hAnsi="宋体" w:cs="宋体"/>
                <w:color w:val="000000"/>
                <w:sz w:val="18"/>
                <w:szCs w:val="18"/>
              </w:rPr>
            </w:pPr>
            <w:r>
              <w:rPr>
                <w:rStyle w:val="66"/>
                <w:rFonts w:hint="default"/>
                <w:lang w:bidi="ar"/>
              </w:rPr>
              <w:t>交流三相五线制</w:t>
            </w:r>
          </w:p>
        </w:tc>
      </w:tr>
      <w:tr w14:paraId="198BC9D5">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2ABB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FED2">
            <w:pPr>
              <w:widowControl/>
              <w:jc w:val="left"/>
              <w:textAlignment w:val="center"/>
              <w:rPr>
                <w:rFonts w:hint="eastAsia" w:ascii="宋体" w:hAnsi="宋体" w:cs="宋体"/>
                <w:color w:val="000000"/>
                <w:sz w:val="18"/>
                <w:szCs w:val="18"/>
              </w:rPr>
            </w:pPr>
            <w:r>
              <w:rPr>
                <w:rStyle w:val="66"/>
                <w:rFonts w:hint="default"/>
                <w:lang w:bidi="ar"/>
              </w:rPr>
              <w:t>进线方式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7D61">
            <w:pPr>
              <w:widowControl/>
              <w:jc w:val="left"/>
              <w:textAlignment w:val="center"/>
              <w:rPr>
                <w:rFonts w:hint="eastAsia" w:ascii="宋体" w:hAnsi="宋体" w:cs="宋体"/>
                <w:color w:val="000000"/>
                <w:sz w:val="18"/>
                <w:szCs w:val="18"/>
              </w:rPr>
            </w:pPr>
            <w:r>
              <w:rPr>
                <w:rStyle w:val="66"/>
                <w:rFonts w:hint="default"/>
                <w:lang w:bidi="ar"/>
              </w:rPr>
              <w:t>下进线</w:t>
            </w:r>
          </w:p>
        </w:tc>
      </w:tr>
      <w:tr w14:paraId="6038B9F4">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AB0D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23DB">
            <w:pPr>
              <w:widowControl/>
              <w:jc w:val="left"/>
              <w:textAlignment w:val="center"/>
              <w:rPr>
                <w:rFonts w:hint="eastAsia" w:ascii="宋体" w:hAnsi="宋体" w:cs="宋体"/>
                <w:color w:val="000000"/>
                <w:sz w:val="18"/>
                <w:szCs w:val="18"/>
              </w:rPr>
            </w:pPr>
            <w:r>
              <w:rPr>
                <w:rStyle w:val="66"/>
                <w:rFonts w:hint="default"/>
                <w:lang w:bidi="ar"/>
              </w:rPr>
              <w:t>输入电压</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71E8">
            <w:pPr>
              <w:widowControl/>
              <w:jc w:val="left"/>
              <w:textAlignment w:val="center"/>
              <w:rPr>
                <w:rFonts w:hint="eastAsia" w:ascii="宋体" w:hAnsi="宋体" w:cs="宋体"/>
                <w:color w:val="000000"/>
                <w:sz w:val="18"/>
                <w:szCs w:val="18"/>
              </w:rPr>
            </w:pPr>
            <w:r>
              <w:rPr>
                <w:rStyle w:val="66"/>
                <w:rFonts w:hint="default"/>
                <w:lang w:bidi="ar"/>
              </w:rPr>
              <w:t>额定输入电压 AC 380V±15%</w:t>
            </w:r>
          </w:p>
        </w:tc>
      </w:tr>
      <w:tr w14:paraId="773AEEEF">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2BC53">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B191">
            <w:pPr>
              <w:widowControl/>
              <w:jc w:val="left"/>
              <w:textAlignment w:val="center"/>
              <w:rPr>
                <w:rFonts w:hint="eastAsia" w:ascii="宋体" w:hAnsi="宋体" w:cs="宋体"/>
                <w:color w:val="000000"/>
                <w:sz w:val="18"/>
                <w:szCs w:val="18"/>
              </w:rPr>
            </w:pPr>
            <w:r>
              <w:rPr>
                <w:rStyle w:val="66"/>
                <w:rFonts w:hint="default"/>
                <w:lang w:bidi="ar"/>
              </w:rPr>
              <w:t>输入频率</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D36F">
            <w:pPr>
              <w:widowControl/>
              <w:jc w:val="left"/>
              <w:textAlignment w:val="center"/>
              <w:rPr>
                <w:rFonts w:hint="eastAsia" w:ascii="宋体" w:hAnsi="宋体" w:cs="宋体"/>
                <w:color w:val="000000"/>
                <w:sz w:val="18"/>
                <w:szCs w:val="18"/>
              </w:rPr>
            </w:pPr>
            <w:r>
              <w:rPr>
                <w:rStyle w:val="66"/>
                <w:rFonts w:hint="default"/>
                <w:lang w:bidi="ar"/>
              </w:rPr>
              <w:t>45～65Hz</w:t>
            </w:r>
          </w:p>
        </w:tc>
      </w:tr>
      <w:tr w14:paraId="0F5DF3B1">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D4E1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DD21">
            <w:pPr>
              <w:widowControl/>
              <w:jc w:val="left"/>
              <w:textAlignment w:val="center"/>
              <w:rPr>
                <w:rFonts w:hint="eastAsia" w:ascii="宋体" w:hAnsi="宋体" w:cs="宋体"/>
                <w:color w:val="000000"/>
                <w:sz w:val="18"/>
                <w:szCs w:val="18"/>
              </w:rPr>
            </w:pPr>
            <w:r>
              <w:rPr>
                <w:rStyle w:val="66"/>
                <w:rFonts w:hint="default"/>
                <w:lang w:bidi="ar"/>
              </w:rPr>
              <w:t>功率因数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3DF6">
            <w:pPr>
              <w:widowControl/>
              <w:jc w:val="left"/>
              <w:textAlignment w:val="center"/>
              <w:rPr>
                <w:rFonts w:hint="eastAsia" w:ascii="宋体" w:hAnsi="宋体" w:cs="宋体"/>
                <w:color w:val="000000"/>
                <w:sz w:val="18"/>
                <w:szCs w:val="18"/>
              </w:rPr>
            </w:pPr>
            <w:r>
              <w:rPr>
                <w:rStyle w:val="66"/>
                <w:rFonts w:hint="default"/>
                <w:lang w:bidi="ar"/>
              </w:rPr>
              <w:t>≥0.99</w:t>
            </w:r>
          </w:p>
        </w:tc>
      </w:tr>
      <w:tr w14:paraId="45A868E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A814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4310">
            <w:pPr>
              <w:widowControl/>
              <w:jc w:val="left"/>
              <w:textAlignment w:val="center"/>
              <w:rPr>
                <w:rFonts w:hint="eastAsia" w:ascii="宋体" w:hAnsi="宋体" w:cs="宋体"/>
                <w:color w:val="000000"/>
                <w:sz w:val="18"/>
                <w:szCs w:val="18"/>
              </w:rPr>
            </w:pPr>
            <w:r>
              <w:rPr>
                <w:rStyle w:val="66"/>
                <w:rFonts w:hint="default"/>
                <w:lang w:bidi="ar"/>
              </w:rPr>
              <w:t>交流接触器或同类装置</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795B">
            <w:pPr>
              <w:widowControl/>
              <w:jc w:val="left"/>
              <w:textAlignment w:val="center"/>
              <w:rPr>
                <w:rFonts w:hint="eastAsia" w:ascii="宋体" w:hAnsi="宋体" w:cs="宋体"/>
                <w:color w:val="000000"/>
                <w:sz w:val="18"/>
                <w:szCs w:val="18"/>
              </w:rPr>
            </w:pPr>
            <w:r>
              <w:rPr>
                <w:rStyle w:val="66"/>
                <w:rFonts w:hint="default"/>
                <w:lang w:bidi="ar"/>
              </w:rPr>
              <w:t>配置或充电模块内置</w:t>
            </w:r>
          </w:p>
        </w:tc>
      </w:tr>
      <w:tr w14:paraId="6907E131">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D65BE">
            <w:pPr>
              <w:widowControl/>
              <w:jc w:val="center"/>
              <w:textAlignment w:val="center"/>
              <w:rPr>
                <w:rFonts w:hint="eastAsia" w:ascii="宋体" w:hAnsi="宋体" w:cs="宋体"/>
                <w:color w:val="000000"/>
                <w:sz w:val="18"/>
                <w:szCs w:val="18"/>
              </w:rPr>
            </w:pPr>
            <w:r>
              <w:rPr>
                <w:rStyle w:val="66"/>
                <w:rFonts w:hint="default"/>
                <w:lang w:bidi="ar"/>
              </w:rPr>
              <w:t>充电输出</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2595">
            <w:pPr>
              <w:widowControl/>
              <w:jc w:val="left"/>
              <w:textAlignment w:val="center"/>
              <w:rPr>
                <w:rFonts w:hint="eastAsia" w:ascii="宋体" w:hAnsi="宋体" w:cs="宋体"/>
                <w:color w:val="000000"/>
                <w:sz w:val="18"/>
                <w:szCs w:val="18"/>
              </w:rPr>
            </w:pPr>
            <w:r>
              <w:rPr>
                <w:rStyle w:val="66"/>
                <w:rFonts w:hint="default"/>
                <w:lang w:bidi="ar"/>
              </w:rPr>
              <w:t>充电接口</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8CC2">
            <w:pPr>
              <w:widowControl/>
              <w:jc w:val="left"/>
              <w:textAlignment w:val="center"/>
              <w:rPr>
                <w:rFonts w:hint="eastAsia" w:ascii="宋体" w:hAnsi="宋体" w:cs="宋体"/>
                <w:color w:val="000000"/>
                <w:sz w:val="18"/>
                <w:szCs w:val="18"/>
              </w:rPr>
            </w:pPr>
            <w:r>
              <w:rPr>
                <w:rStyle w:val="66"/>
                <w:rFonts w:hint="default"/>
                <w:lang w:bidi="ar"/>
              </w:rPr>
              <w:t>满足 GB/T20234.1-20</w:t>
            </w:r>
            <w:r>
              <w:rPr>
                <w:rStyle w:val="66"/>
                <w:rFonts w:hint="eastAsia"/>
                <w:lang w:val="en-US" w:eastAsia="zh-CN" w:bidi="ar"/>
              </w:rPr>
              <w:t>23</w:t>
            </w:r>
            <w:r>
              <w:rPr>
                <w:rStyle w:val="66"/>
                <w:rFonts w:hint="default"/>
                <w:lang w:bidi="ar"/>
              </w:rPr>
              <w:t>、GB/T20234.3-20</w:t>
            </w:r>
            <w:r>
              <w:rPr>
                <w:rStyle w:val="66"/>
                <w:rFonts w:hint="eastAsia"/>
                <w:lang w:val="en-US" w:eastAsia="zh-CN" w:bidi="ar"/>
              </w:rPr>
              <w:t>23</w:t>
            </w:r>
            <w:r>
              <w:rPr>
                <w:rStyle w:val="66"/>
                <w:rFonts w:hint="default"/>
                <w:lang w:bidi="ar"/>
              </w:rPr>
              <w:t>标准</w:t>
            </w:r>
          </w:p>
        </w:tc>
      </w:tr>
      <w:tr w14:paraId="54A6C275">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6F22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D843">
            <w:pPr>
              <w:widowControl/>
              <w:jc w:val="left"/>
              <w:textAlignment w:val="center"/>
              <w:rPr>
                <w:rStyle w:val="66"/>
                <w:rFonts w:hint="eastAsia" w:eastAsia="宋体"/>
                <w:lang w:val="en-US" w:eastAsia="zh-CN" w:bidi="ar"/>
              </w:rPr>
            </w:pPr>
            <w:r>
              <w:rPr>
                <w:rStyle w:val="66"/>
                <w:rFonts w:hint="eastAsia"/>
                <w:lang w:val="en-US" w:eastAsia="zh-CN" w:bidi="ar"/>
              </w:rPr>
              <w:t>枪线</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D6FB">
            <w:pPr>
              <w:widowControl/>
              <w:jc w:val="left"/>
              <w:textAlignment w:val="center"/>
              <w:rPr>
                <w:rStyle w:val="66"/>
                <w:rFonts w:hint="default" w:eastAsia="宋体"/>
                <w:lang w:val="en-US" w:eastAsia="zh-CN" w:bidi="ar"/>
              </w:rPr>
            </w:pPr>
            <w:r>
              <w:rPr>
                <w:rStyle w:val="66"/>
                <w:rFonts w:hint="eastAsia"/>
                <w:lang w:val="en-US" w:eastAsia="zh-CN" w:bidi="ar"/>
              </w:rPr>
              <w:t>长度不小于5米</w:t>
            </w:r>
            <w:r>
              <w:rPr>
                <w:rStyle w:val="66"/>
                <w:rFonts w:hint="default"/>
                <w:lang w:bidi="ar"/>
              </w:rPr>
              <w:t>（枪线外径≤</w:t>
            </w:r>
            <w:r>
              <w:rPr>
                <w:rStyle w:val="66"/>
                <w:rFonts w:hint="eastAsia"/>
                <w:lang w:val="en-US" w:eastAsia="zh-CN" w:bidi="ar"/>
              </w:rPr>
              <w:t>32</w:t>
            </w:r>
            <w:r>
              <w:rPr>
                <w:rStyle w:val="66"/>
                <w:rFonts w:hint="default"/>
                <w:lang w:bidi="ar"/>
              </w:rPr>
              <w:t>mm）</w:t>
            </w:r>
          </w:p>
        </w:tc>
      </w:tr>
      <w:tr w14:paraId="64819E34">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085A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F52D">
            <w:pPr>
              <w:widowControl/>
              <w:jc w:val="left"/>
              <w:textAlignment w:val="center"/>
              <w:rPr>
                <w:rFonts w:hint="eastAsia" w:ascii="宋体" w:hAnsi="宋体" w:cs="宋体"/>
                <w:color w:val="000000"/>
                <w:sz w:val="18"/>
                <w:szCs w:val="18"/>
              </w:rPr>
            </w:pPr>
            <w:r>
              <w:rPr>
                <w:rStyle w:val="66"/>
                <w:rFonts w:hint="default"/>
                <w:lang w:bidi="ar"/>
              </w:rPr>
              <w:t>BMS供电电源</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7094">
            <w:pPr>
              <w:widowControl/>
              <w:jc w:val="left"/>
              <w:textAlignment w:val="center"/>
              <w:rPr>
                <w:rFonts w:hint="eastAsia" w:ascii="宋体" w:hAnsi="宋体" w:cs="宋体"/>
                <w:color w:val="000000"/>
                <w:sz w:val="18"/>
                <w:szCs w:val="18"/>
              </w:rPr>
            </w:pPr>
            <w:r>
              <w:rPr>
                <w:rStyle w:val="66"/>
                <w:rFonts w:hint="default"/>
                <w:lang w:bidi="ar"/>
              </w:rPr>
              <w:t>可设置 12V（可根据需要选配24V）</w:t>
            </w:r>
          </w:p>
        </w:tc>
      </w:tr>
      <w:tr w14:paraId="60FD5F27">
        <w:tblPrEx>
          <w:tblCellMar>
            <w:top w:w="0" w:type="dxa"/>
            <w:left w:w="108" w:type="dxa"/>
            <w:bottom w:w="0" w:type="dxa"/>
            <w:right w:w="108" w:type="dxa"/>
          </w:tblCellMar>
        </w:tblPrEx>
        <w:trPr>
          <w:trHeight w:val="9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F12D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EBA4">
            <w:pPr>
              <w:widowControl/>
              <w:jc w:val="left"/>
              <w:textAlignment w:val="center"/>
              <w:rPr>
                <w:rFonts w:hint="eastAsia" w:ascii="宋体" w:hAnsi="宋体" w:cs="宋体"/>
                <w:color w:val="000000"/>
                <w:sz w:val="18"/>
                <w:szCs w:val="18"/>
              </w:rPr>
            </w:pPr>
            <w:r>
              <w:rPr>
                <w:rStyle w:val="66"/>
                <w:rFonts w:hint="default"/>
                <w:lang w:bidi="ar"/>
              </w:rPr>
              <w:t>输出电压</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B4E3">
            <w:pPr>
              <w:widowControl/>
              <w:jc w:val="left"/>
              <w:textAlignment w:val="center"/>
              <w:rPr>
                <w:rFonts w:hint="eastAsia" w:ascii="宋体" w:hAnsi="宋体" w:cs="宋体"/>
                <w:color w:val="000000"/>
                <w:sz w:val="18"/>
                <w:szCs w:val="18"/>
              </w:rPr>
            </w:pPr>
            <w:r>
              <w:rPr>
                <w:rStyle w:val="66"/>
                <w:rFonts w:hint="default"/>
                <w:lang w:bidi="ar"/>
              </w:rPr>
              <w:t>输出电压范围 200Vdc～1000Vdc，恒功率范围：300Vdc～1000Vdc</w:t>
            </w:r>
          </w:p>
        </w:tc>
      </w:tr>
      <w:tr w14:paraId="66078655">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835A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3E3C">
            <w:pPr>
              <w:widowControl/>
              <w:jc w:val="left"/>
              <w:textAlignment w:val="center"/>
              <w:rPr>
                <w:rFonts w:hint="eastAsia" w:ascii="宋体" w:hAnsi="宋体" w:cs="宋体"/>
                <w:color w:val="000000"/>
                <w:sz w:val="18"/>
                <w:szCs w:val="18"/>
              </w:rPr>
            </w:pPr>
            <w:r>
              <w:rPr>
                <w:rStyle w:val="66"/>
                <w:rFonts w:hint="default"/>
                <w:lang w:bidi="ar"/>
              </w:rPr>
              <w:t>额定输出功率</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5E89">
            <w:pPr>
              <w:widowControl/>
              <w:jc w:val="left"/>
              <w:textAlignment w:val="center"/>
              <w:rPr>
                <w:rFonts w:hint="eastAsia" w:ascii="宋体" w:hAnsi="宋体" w:cs="宋体"/>
                <w:color w:val="000000"/>
                <w:sz w:val="18"/>
                <w:szCs w:val="18"/>
              </w:rPr>
            </w:pPr>
            <w:r>
              <w:rPr>
                <w:rStyle w:val="66"/>
                <w:rFonts w:hint="default"/>
                <w:lang w:bidi="ar"/>
              </w:rPr>
              <w:t>480kW</w:t>
            </w:r>
          </w:p>
        </w:tc>
      </w:tr>
      <w:tr w14:paraId="64DB7BC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95F8B">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2A37">
            <w:pPr>
              <w:widowControl/>
              <w:jc w:val="left"/>
              <w:textAlignment w:val="center"/>
              <w:rPr>
                <w:rFonts w:hint="eastAsia" w:ascii="宋体" w:hAnsi="宋体" w:cs="宋体"/>
                <w:color w:val="000000"/>
                <w:sz w:val="18"/>
                <w:szCs w:val="18"/>
              </w:rPr>
            </w:pPr>
            <w:r>
              <w:rPr>
                <w:rStyle w:val="66"/>
                <w:rFonts w:hint="default"/>
                <w:lang w:bidi="ar"/>
              </w:rPr>
              <w:t>单路最大电流</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6E34">
            <w:pPr>
              <w:widowControl/>
              <w:jc w:val="left"/>
              <w:textAlignment w:val="center"/>
              <w:rPr>
                <w:rFonts w:hint="eastAsia" w:ascii="宋体" w:hAnsi="宋体" w:cs="宋体"/>
                <w:color w:val="000000"/>
                <w:sz w:val="18"/>
                <w:szCs w:val="18"/>
              </w:rPr>
            </w:pPr>
            <w:r>
              <w:rPr>
                <w:rStyle w:val="66"/>
                <w:rFonts w:hint="default"/>
                <w:lang w:bidi="ar"/>
              </w:rPr>
              <w:t>≥2</w:t>
            </w:r>
            <w:r>
              <w:rPr>
                <w:rStyle w:val="66"/>
                <w:rFonts w:hint="eastAsia"/>
                <w:lang w:val="en-US" w:eastAsia="zh-CN" w:bidi="ar"/>
              </w:rPr>
              <w:t>5</w:t>
            </w:r>
            <w:r>
              <w:rPr>
                <w:rStyle w:val="66"/>
                <w:rFonts w:hint="default"/>
                <w:lang w:bidi="ar"/>
              </w:rPr>
              <w:t>0A，</w:t>
            </w:r>
            <w:r>
              <w:rPr>
                <w:rStyle w:val="66"/>
                <w:lang w:bidi="ar"/>
              </w:rPr>
              <w:t>超级终端满足最大输出电流600A</w:t>
            </w:r>
          </w:p>
        </w:tc>
      </w:tr>
      <w:tr w14:paraId="5E436AF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89F0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43DA">
            <w:pPr>
              <w:widowControl/>
              <w:jc w:val="left"/>
              <w:textAlignment w:val="center"/>
              <w:rPr>
                <w:rStyle w:val="66"/>
                <w:rFonts w:hint="default"/>
                <w:lang w:bidi="ar"/>
              </w:rPr>
            </w:pPr>
            <w:r>
              <w:rPr>
                <w:rStyle w:val="66"/>
                <w:rFonts w:hint="default"/>
                <w:lang w:val="en-US" w:eastAsia="zh-CN" w:bidi="ar"/>
              </w:rPr>
              <w:t>峰值</w:t>
            </w:r>
            <w:r>
              <w:rPr>
                <w:rStyle w:val="66"/>
                <w:rFonts w:hint="default"/>
                <w:lang w:bidi="ar"/>
              </w:rPr>
              <w:t>效率</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F582">
            <w:pPr>
              <w:widowControl/>
              <w:jc w:val="left"/>
              <w:textAlignment w:val="center"/>
              <w:rPr>
                <w:rStyle w:val="66"/>
                <w:rFonts w:hint="default"/>
                <w:lang w:bidi="ar"/>
              </w:rPr>
            </w:pPr>
            <w:r>
              <w:rPr>
                <w:rStyle w:val="66"/>
                <w:rFonts w:hint="default"/>
                <w:lang w:bidi="ar"/>
              </w:rPr>
              <w:t>≥</w:t>
            </w:r>
            <w:r>
              <w:rPr>
                <w:rStyle w:val="66"/>
                <w:rFonts w:hint="default" w:ascii="宋体" w:hAnsi="宋体" w:eastAsia="宋体" w:cs="宋体"/>
                <w:lang w:bidi="ar"/>
              </w:rPr>
              <w:t>96%</w:t>
            </w:r>
          </w:p>
        </w:tc>
      </w:tr>
      <w:tr w14:paraId="48D92187">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B97C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14B7">
            <w:pPr>
              <w:widowControl/>
              <w:jc w:val="left"/>
              <w:textAlignment w:val="center"/>
              <w:rPr>
                <w:rFonts w:hint="eastAsia" w:ascii="宋体" w:hAnsi="宋体" w:cs="宋体"/>
                <w:color w:val="000000"/>
                <w:sz w:val="18"/>
                <w:szCs w:val="18"/>
              </w:rPr>
            </w:pPr>
            <w:r>
              <w:rPr>
                <w:rStyle w:val="66"/>
                <w:rFonts w:hint="default"/>
                <w:lang w:bidi="ar"/>
              </w:rPr>
              <w:t>稳流精度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9A82">
            <w:pPr>
              <w:widowControl/>
              <w:jc w:val="left"/>
              <w:textAlignment w:val="center"/>
              <w:rPr>
                <w:rFonts w:hint="eastAsia" w:ascii="宋体" w:hAnsi="宋体" w:cs="宋体"/>
                <w:color w:val="000000"/>
                <w:sz w:val="18"/>
                <w:szCs w:val="18"/>
              </w:rPr>
            </w:pPr>
            <w:r>
              <w:rPr>
                <w:rStyle w:val="66"/>
                <w:rFonts w:hint="default"/>
                <w:lang w:bidi="ar"/>
              </w:rPr>
              <w:t>≤±1%</w:t>
            </w:r>
          </w:p>
        </w:tc>
      </w:tr>
      <w:tr w14:paraId="0F29AEC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809A4">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AAFF">
            <w:pPr>
              <w:widowControl/>
              <w:jc w:val="left"/>
              <w:textAlignment w:val="center"/>
              <w:rPr>
                <w:rFonts w:hint="eastAsia" w:ascii="宋体" w:hAnsi="宋体" w:cs="宋体"/>
                <w:color w:val="000000"/>
                <w:sz w:val="18"/>
                <w:szCs w:val="18"/>
              </w:rPr>
            </w:pPr>
            <w:r>
              <w:rPr>
                <w:rStyle w:val="66"/>
                <w:rFonts w:hint="default"/>
                <w:lang w:bidi="ar"/>
              </w:rPr>
              <w:t>稳压精度</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AF158">
            <w:pPr>
              <w:widowControl/>
              <w:jc w:val="left"/>
              <w:textAlignment w:val="center"/>
              <w:rPr>
                <w:rFonts w:hint="eastAsia" w:ascii="宋体" w:hAnsi="宋体" w:cs="宋体"/>
                <w:color w:val="000000"/>
                <w:sz w:val="18"/>
                <w:szCs w:val="18"/>
              </w:rPr>
            </w:pPr>
            <w:r>
              <w:rPr>
                <w:rStyle w:val="66"/>
                <w:rFonts w:hint="default"/>
                <w:lang w:bidi="ar"/>
              </w:rPr>
              <w:t>≤±0.5%</w:t>
            </w:r>
          </w:p>
        </w:tc>
      </w:tr>
      <w:tr w14:paraId="32AF3CF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32B90">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0548">
            <w:pPr>
              <w:widowControl/>
              <w:jc w:val="left"/>
              <w:textAlignment w:val="center"/>
              <w:rPr>
                <w:rFonts w:hint="eastAsia" w:ascii="宋体" w:hAnsi="宋体" w:cs="宋体"/>
                <w:color w:val="000000"/>
                <w:sz w:val="18"/>
                <w:szCs w:val="18"/>
              </w:rPr>
            </w:pPr>
            <w:r>
              <w:rPr>
                <w:rStyle w:val="66"/>
                <w:rFonts w:hint="default"/>
                <w:lang w:bidi="ar"/>
              </w:rPr>
              <w:t>电压纹波系数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906C">
            <w:pPr>
              <w:widowControl/>
              <w:jc w:val="left"/>
              <w:textAlignment w:val="center"/>
              <w:rPr>
                <w:rFonts w:hint="eastAsia" w:ascii="宋体" w:hAnsi="宋体" w:cs="宋体"/>
                <w:color w:val="000000"/>
                <w:sz w:val="18"/>
                <w:szCs w:val="18"/>
              </w:rPr>
            </w:pPr>
            <w:r>
              <w:rPr>
                <w:rStyle w:val="66"/>
                <w:rFonts w:hint="default"/>
                <w:lang w:bidi="ar"/>
              </w:rPr>
              <w:t>≤±0.5%</w:t>
            </w:r>
          </w:p>
        </w:tc>
      </w:tr>
      <w:tr w14:paraId="4C9730D6">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31013">
            <w:pPr>
              <w:widowControl/>
              <w:jc w:val="center"/>
              <w:textAlignment w:val="center"/>
              <w:rPr>
                <w:rFonts w:hint="eastAsia" w:ascii="宋体" w:hAnsi="宋体" w:cs="宋体"/>
                <w:color w:val="000000"/>
                <w:sz w:val="18"/>
                <w:szCs w:val="18"/>
              </w:rPr>
            </w:pPr>
            <w:r>
              <w:rPr>
                <w:rStyle w:val="66"/>
                <w:rFonts w:hint="default"/>
                <w:lang w:bidi="ar"/>
              </w:rPr>
              <w:t>监控通信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66CB">
            <w:pPr>
              <w:widowControl/>
              <w:jc w:val="left"/>
              <w:textAlignment w:val="center"/>
              <w:rPr>
                <w:rFonts w:hint="eastAsia" w:ascii="宋体" w:hAnsi="宋体" w:cs="宋体"/>
                <w:color w:val="000000"/>
                <w:sz w:val="18"/>
                <w:szCs w:val="18"/>
              </w:rPr>
            </w:pPr>
            <w:r>
              <w:rPr>
                <w:rStyle w:val="66"/>
                <w:rFonts w:hint="default"/>
                <w:lang w:bidi="ar"/>
              </w:rPr>
              <w:t>BMS通信</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54EF">
            <w:pPr>
              <w:widowControl/>
              <w:jc w:val="left"/>
              <w:textAlignment w:val="center"/>
              <w:rPr>
                <w:rFonts w:hint="default" w:ascii="宋体" w:hAnsi="宋体" w:eastAsia="宋体" w:cs="宋体"/>
                <w:color w:val="000000"/>
                <w:sz w:val="18"/>
                <w:szCs w:val="18"/>
                <w:lang w:val="en-US" w:eastAsia="zh-CN"/>
              </w:rPr>
            </w:pPr>
            <w:r>
              <w:rPr>
                <w:rStyle w:val="66"/>
                <w:rFonts w:hint="default"/>
                <w:lang w:bidi="ar"/>
              </w:rPr>
              <w:t>满足 GB/T27930-20</w:t>
            </w:r>
            <w:r>
              <w:rPr>
                <w:rStyle w:val="66"/>
                <w:rFonts w:hint="eastAsia"/>
                <w:lang w:val="en-US" w:eastAsia="zh-CN" w:bidi="ar"/>
              </w:rPr>
              <w:t>23</w:t>
            </w:r>
          </w:p>
        </w:tc>
      </w:tr>
      <w:tr w14:paraId="56003330">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95DAD">
            <w:pPr>
              <w:jc w:val="center"/>
              <w:rPr>
                <w:rFonts w:hint="eastAsia" w:ascii="宋体" w:hAnsi="宋体" w:cs="宋体"/>
                <w:color w:val="000000"/>
                <w:sz w:val="18"/>
                <w:szCs w:val="18"/>
              </w:rPr>
            </w:pP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BB12E">
            <w:pPr>
              <w:widowControl/>
              <w:jc w:val="left"/>
              <w:textAlignment w:val="center"/>
              <w:rPr>
                <w:rFonts w:hint="eastAsia" w:ascii="宋体" w:hAnsi="宋体" w:cs="宋体"/>
                <w:color w:val="000000"/>
                <w:sz w:val="18"/>
                <w:szCs w:val="18"/>
              </w:rPr>
            </w:pPr>
            <w:r>
              <w:rPr>
                <w:rStyle w:val="66"/>
                <w:rFonts w:hint="default"/>
                <w:lang w:bidi="ar"/>
              </w:rPr>
              <w:t>人机交互</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0ACD">
            <w:pPr>
              <w:widowControl/>
              <w:jc w:val="left"/>
              <w:textAlignment w:val="center"/>
              <w:rPr>
                <w:rFonts w:hint="eastAsia" w:ascii="宋体" w:hAnsi="宋体" w:cs="宋体"/>
                <w:b/>
                <w:bCs/>
                <w:color w:val="FF0000"/>
                <w:sz w:val="18"/>
                <w:szCs w:val="18"/>
              </w:rPr>
            </w:pPr>
            <w:r>
              <w:rPr>
                <w:rStyle w:val="66"/>
                <w:color w:val="auto"/>
                <w:lang w:bidi="ar"/>
              </w:rPr>
              <w:t>快充终端：显示屏</w:t>
            </w:r>
            <w:r>
              <w:rPr>
                <w:rStyle w:val="66"/>
                <w:b/>
                <w:bCs/>
                <w:color w:val="8064A2" w:themeColor="accent4"/>
                <w:lang w:bidi="ar"/>
                <w14:textFill>
                  <w14:solidFill>
                    <w14:schemeClr w14:val="accent4"/>
                  </w14:solidFill>
                </w14:textFill>
              </w:rPr>
              <w:t>≥</w:t>
            </w:r>
            <w:r>
              <w:rPr>
                <w:rStyle w:val="66"/>
                <w:rFonts w:hint="default"/>
                <w:color w:val="auto"/>
                <w:lang w:bidi="ar"/>
              </w:rPr>
              <w:t>7 寸900nits高亮触摸彩色屏，≥800*480分辨率</w:t>
            </w:r>
          </w:p>
        </w:tc>
      </w:tr>
      <w:tr w14:paraId="3A1E957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894AC">
            <w:pPr>
              <w:jc w:val="center"/>
              <w:rPr>
                <w:rFonts w:hint="eastAsia" w:ascii="宋体" w:hAnsi="宋体" w:cs="宋体"/>
                <w:color w:val="000000"/>
                <w:sz w:val="18"/>
                <w:szCs w:val="18"/>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C7B54">
            <w:pPr>
              <w:jc w:val="left"/>
              <w:rPr>
                <w:rFonts w:hint="eastAsia" w:ascii="宋体" w:hAnsi="宋体" w:cs="宋体"/>
                <w:color w:val="000000"/>
                <w:sz w:val="18"/>
                <w:szCs w:val="18"/>
              </w:rPr>
            </w:pP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0E1F">
            <w:pPr>
              <w:widowControl/>
              <w:jc w:val="left"/>
              <w:textAlignment w:val="center"/>
              <w:rPr>
                <w:rFonts w:hint="eastAsia" w:ascii="宋体" w:hAnsi="宋体" w:cs="宋体"/>
                <w:color w:val="000000"/>
                <w:sz w:val="18"/>
                <w:szCs w:val="18"/>
              </w:rPr>
            </w:pPr>
            <w:r>
              <w:rPr>
                <w:rStyle w:val="66"/>
                <w:rFonts w:hint="default"/>
                <w:lang w:bidi="ar"/>
              </w:rPr>
              <w:t>面板LED灯显示设备状态</w:t>
            </w:r>
          </w:p>
        </w:tc>
      </w:tr>
      <w:tr w14:paraId="22ADB3D9">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93779">
            <w:pPr>
              <w:jc w:val="center"/>
              <w:rPr>
                <w:rFonts w:hint="eastAsia" w:ascii="宋体" w:hAnsi="宋体" w:cs="宋体"/>
                <w:color w:val="000000"/>
                <w:sz w:val="18"/>
                <w:szCs w:val="18"/>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1E1BD">
            <w:pPr>
              <w:jc w:val="left"/>
              <w:rPr>
                <w:rFonts w:hint="eastAsia" w:ascii="宋体" w:hAnsi="宋体" w:cs="宋体"/>
                <w:color w:val="000000"/>
                <w:sz w:val="18"/>
                <w:szCs w:val="18"/>
              </w:rPr>
            </w:pP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0620">
            <w:pPr>
              <w:widowControl/>
              <w:jc w:val="left"/>
              <w:textAlignment w:val="center"/>
              <w:rPr>
                <w:rFonts w:hint="eastAsia" w:ascii="宋体" w:hAnsi="宋体" w:cs="宋体"/>
                <w:color w:val="000000"/>
                <w:sz w:val="18"/>
                <w:szCs w:val="18"/>
              </w:rPr>
            </w:pPr>
            <w:r>
              <w:rPr>
                <w:rStyle w:val="66"/>
                <w:color w:val="auto"/>
                <w:lang w:bidi="ar"/>
              </w:rPr>
              <w:t>快充终端</w:t>
            </w:r>
            <w:r>
              <w:rPr>
                <w:rStyle w:val="66"/>
                <w:rFonts w:hint="default"/>
                <w:lang w:bidi="ar"/>
              </w:rPr>
              <w:t>支持刷卡</w:t>
            </w:r>
          </w:p>
        </w:tc>
      </w:tr>
      <w:tr w14:paraId="4592AE01">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9447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E273">
            <w:pPr>
              <w:widowControl/>
              <w:jc w:val="left"/>
              <w:textAlignment w:val="center"/>
              <w:rPr>
                <w:rFonts w:hint="eastAsia" w:ascii="宋体" w:hAnsi="宋体" w:cs="宋体"/>
                <w:color w:val="000000"/>
                <w:sz w:val="18"/>
                <w:szCs w:val="18"/>
              </w:rPr>
            </w:pPr>
            <w:r>
              <w:rPr>
                <w:rStyle w:val="66"/>
                <w:rFonts w:hint="default"/>
                <w:lang w:bidi="ar"/>
              </w:rPr>
              <w:t>充电模式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1F6F">
            <w:pPr>
              <w:widowControl/>
              <w:jc w:val="left"/>
              <w:textAlignment w:val="center"/>
              <w:rPr>
                <w:rFonts w:hint="eastAsia" w:ascii="宋体" w:hAnsi="宋体" w:cs="宋体"/>
                <w:color w:val="000000"/>
                <w:sz w:val="18"/>
                <w:szCs w:val="18"/>
              </w:rPr>
            </w:pPr>
            <w:r>
              <w:rPr>
                <w:rStyle w:val="66"/>
                <w:rFonts w:hint="default"/>
                <w:lang w:bidi="ar"/>
              </w:rPr>
              <w:t>满足 GB/T18487.1-20</w:t>
            </w:r>
            <w:r>
              <w:rPr>
                <w:rStyle w:val="66"/>
                <w:rFonts w:hint="eastAsia"/>
                <w:lang w:val="en-US" w:eastAsia="zh-CN" w:bidi="ar"/>
              </w:rPr>
              <w:t>23</w:t>
            </w:r>
            <w:r>
              <w:rPr>
                <w:rStyle w:val="66"/>
                <w:rFonts w:hint="default"/>
                <w:lang w:bidi="ar"/>
              </w:rPr>
              <w:t xml:space="preserve"> 中 5.1 规定的充电模式 4</w:t>
            </w:r>
          </w:p>
        </w:tc>
      </w:tr>
      <w:tr w14:paraId="7BA40F66">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A3D8C">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E437">
            <w:pPr>
              <w:widowControl/>
              <w:jc w:val="left"/>
              <w:textAlignment w:val="center"/>
              <w:rPr>
                <w:rFonts w:hint="default" w:ascii="宋体" w:hAnsi="宋体" w:eastAsia="宋体" w:cs="宋体"/>
                <w:color w:val="000000"/>
                <w:kern w:val="2"/>
                <w:sz w:val="18"/>
                <w:szCs w:val="18"/>
                <w:lang w:val="en-US" w:eastAsia="zh-CN" w:bidi="ar-SA"/>
              </w:rPr>
            </w:pPr>
            <w:r>
              <w:rPr>
                <w:rStyle w:val="66"/>
                <w:rFonts w:hint="default"/>
                <w:lang w:bidi="ar"/>
              </w:rPr>
              <w:t>远程升级</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3FFC">
            <w:pPr>
              <w:widowControl/>
              <w:jc w:val="left"/>
              <w:textAlignment w:val="center"/>
              <w:rPr>
                <w:rFonts w:hint="default" w:ascii="宋体" w:hAnsi="宋体" w:eastAsia="宋体" w:cs="宋体"/>
                <w:color w:val="000000"/>
                <w:kern w:val="2"/>
                <w:sz w:val="18"/>
                <w:szCs w:val="18"/>
                <w:lang w:val="en-US" w:eastAsia="zh-CN" w:bidi="ar-SA"/>
              </w:rPr>
            </w:pPr>
            <w:r>
              <w:rPr>
                <w:rStyle w:val="66"/>
                <w:rFonts w:hint="default"/>
                <w:lang w:bidi="ar"/>
              </w:rPr>
              <w:t>支持远程升级</w:t>
            </w:r>
          </w:p>
        </w:tc>
      </w:tr>
      <w:tr w14:paraId="746B9E7C">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C7C55">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EDE4">
            <w:pPr>
              <w:widowControl/>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串口通信</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08FC">
            <w:pPr>
              <w:widowControl/>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支持</w:t>
            </w:r>
          </w:p>
        </w:tc>
      </w:tr>
      <w:tr w14:paraId="35FFE86F">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BED76">
            <w:pPr>
              <w:widowControl/>
              <w:jc w:val="center"/>
              <w:textAlignment w:val="center"/>
              <w:rPr>
                <w:rFonts w:hint="eastAsia" w:ascii="宋体" w:hAnsi="宋体" w:cs="宋体"/>
                <w:color w:val="000000"/>
                <w:sz w:val="18"/>
                <w:szCs w:val="18"/>
              </w:rPr>
            </w:pPr>
            <w:r>
              <w:rPr>
                <w:rStyle w:val="66"/>
                <w:rFonts w:hint="default"/>
                <w:lang w:bidi="ar"/>
              </w:rPr>
              <w:t>保护功能</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AFCA">
            <w:pPr>
              <w:widowControl/>
              <w:jc w:val="left"/>
              <w:textAlignment w:val="center"/>
              <w:rPr>
                <w:rFonts w:hint="eastAsia" w:ascii="宋体" w:hAnsi="宋体" w:cs="宋体"/>
                <w:color w:val="000000"/>
                <w:sz w:val="18"/>
                <w:szCs w:val="18"/>
              </w:rPr>
            </w:pPr>
            <w:r>
              <w:rPr>
                <w:rStyle w:val="66"/>
                <w:rFonts w:hint="default"/>
                <w:lang w:bidi="ar"/>
              </w:rPr>
              <w:t>输入保护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D61C">
            <w:pPr>
              <w:widowControl/>
              <w:jc w:val="left"/>
              <w:textAlignment w:val="center"/>
              <w:rPr>
                <w:rFonts w:hint="eastAsia" w:ascii="宋体" w:hAnsi="宋体" w:cs="宋体"/>
                <w:color w:val="000000"/>
                <w:sz w:val="18"/>
                <w:szCs w:val="18"/>
              </w:rPr>
            </w:pPr>
            <w:r>
              <w:rPr>
                <w:rStyle w:val="66"/>
                <w:rFonts w:hint="default"/>
                <w:lang w:bidi="ar"/>
              </w:rPr>
              <w:t>输入过欠压保护</w:t>
            </w:r>
          </w:p>
        </w:tc>
      </w:tr>
      <w:tr w14:paraId="2D64FFF6">
        <w:tblPrEx>
          <w:tblCellMar>
            <w:top w:w="0" w:type="dxa"/>
            <w:left w:w="108" w:type="dxa"/>
            <w:bottom w:w="0" w:type="dxa"/>
            <w:right w:w="108" w:type="dxa"/>
          </w:tblCellMar>
        </w:tblPrEx>
        <w:trPr>
          <w:trHeight w:val="52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4B24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4FD7">
            <w:pPr>
              <w:widowControl/>
              <w:jc w:val="left"/>
              <w:textAlignment w:val="center"/>
              <w:rPr>
                <w:rFonts w:hint="eastAsia" w:ascii="宋体" w:hAnsi="宋体" w:cs="宋体"/>
                <w:color w:val="000000"/>
                <w:sz w:val="18"/>
                <w:szCs w:val="18"/>
              </w:rPr>
            </w:pPr>
            <w:r>
              <w:rPr>
                <w:rStyle w:val="66"/>
                <w:rFonts w:hint="default"/>
                <w:lang w:bidi="ar"/>
              </w:rPr>
              <w:t>输出保护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B7FC">
            <w:pPr>
              <w:widowControl/>
              <w:jc w:val="left"/>
              <w:textAlignment w:val="center"/>
              <w:rPr>
                <w:rFonts w:hint="eastAsia" w:ascii="宋体" w:hAnsi="宋体" w:cs="宋体"/>
                <w:color w:val="000000"/>
                <w:sz w:val="18"/>
                <w:szCs w:val="18"/>
              </w:rPr>
            </w:pPr>
            <w:r>
              <w:rPr>
                <w:rStyle w:val="66"/>
                <w:rFonts w:hint="default"/>
                <w:lang w:bidi="ar"/>
              </w:rPr>
              <w:t>过压保护、过流保护、短路保护、电池反接保护（或输出反接保护）、 绝缘保护（或绝缘检测）</w:t>
            </w:r>
          </w:p>
        </w:tc>
      </w:tr>
      <w:tr w14:paraId="71BACA3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C49CD">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F13F">
            <w:pPr>
              <w:widowControl/>
              <w:jc w:val="left"/>
              <w:textAlignment w:val="center"/>
              <w:rPr>
                <w:rFonts w:hint="eastAsia" w:ascii="宋体" w:hAnsi="宋体" w:cs="宋体"/>
                <w:color w:val="000000"/>
                <w:sz w:val="18"/>
                <w:szCs w:val="18"/>
              </w:rPr>
            </w:pPr>
            <w:r>
              <w:rPr>
                <w:rStyle w:val="66"/>
                <w:rFonts w:hint="default"/>
                <w:lang w:bidi="ar"/>
              </w:rPr>
              <w:t>过温保护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EB6F">
            <w:pPr>
              <w:widowControl/>
              <w:jc w:val="left"/>
              <w:textAlignment w:val="center"/>
              <w:rPr>
                <w:rFonts w:hint="eastAsia" w:ascii="宋体" w:hAnsi="宋体" w:cs="宋体"/>
                <w:color w:val="000000"/>
                <w:sz w:val="18"/>
                <w:szCs w:val="18"/>
              </w:rPr>
            </w:pPr>
            <w:r>
              <w:rPr>
                <w:rStyle w:val="66"/>
                <w:rFonts w:hint="default"/>
                <w:lang w:bidi="ar"/>
              </w:rPr>
              <w:t>过温保护</w:t>
            </w:r>
          </w:p>
        </w:tc>
      </w:tr>
      <w:tr w14:paraId="38510098">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D092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2790">
            <w:pPr>
              <w:widowControl/>
              <w:jc w:val="left"/>
              <w:textAlignment w:val="center"/>
              <w:rPr>
                <w:rFonts w:hint="eastAsia" w:ascii="宋体" w:hAnsi="宋体" w:cs="宋体"/>
                <w:color w:val="000000"/>
                <w:sz w:val="18"/>
                <w:szCs w:val="18"/>
              </w:rPr>
            </w:pPr>
            <w:r>
              <w:rPr>
                <w:rStyle w:val="66"/>
                <w:rFonts w:hint="default"/>
                <w:lang w:bidi="ar"/>
              </w:rPr>
              <w:t>其它保护</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8599">
            <w:pPr>
              <w:widowControl/>
              <w:jc w:val="left"/>
              <w:textAlignment w:val="center"/>
              <w:rPr>
                <w:rFonts w:hint="eastAsia" w:ascii="宋体" w:hAnsi="宋体" w:eastAsia="宋体" w:cs="宋体"/>
                <w:color w:val="000000"/>
                <w:sz w:val="18"/>
                <w:szCs w:val="18"/>
                <w:lang w:eastAsia="zh-CN"/>
              </w:rPr>
            </w:pPr>
            <w:r>
              <w:rPr>
                <w:rStyle w:val="66"/>
                <w:rFonts w:hint="default"/>
                <w:lang w:bidi="ar"/>
              </w:rPr>
              <w:t>开门保护</w:t>
            </w:r>
            <w:r>
              <w:rPr>
                <w:rStyle w:val="66"/>
                <w:rFonts w:hint="eastAsia"/>
                <w:lang w:eastAsia="zh-CN" w:bidi="ar"/>
              </w:rPr>
              <w:t>、</w:t>
            </w:r>
            <w:r>
              <w:rPr>
                <w:rStyle w:val="66"/>
                <w:rFonts w:hint="default"/>
                <w:lang w:bidi="ar"/>
              </w:rPr>
              <w:t>倾倒保护</w:t>
            </w:r>
          </w:p>
        </w:tc>
      </w:tr>
      <w:tr w14:paraId="63112B87">
        <w:tblPrEx>
          <w:tblCellMar>
            <w:top w:w="0" w:type="dxa"/>
            <w:left w:w="108" w:type="dxa"/>
            <w:bottom w:w="0" w:type="dxa"/>
            <w:right w:w="108" w:type="dxa"/>
          </w:tblCellMar>
        </w:tblPrEx>
        <w:trPr>
          <w:trHeight w:val="400" w:hRule="atLeast"/>
        </w:trPr>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0A209">
            <w:pPr>
              <w:widowControl/>
              <w:jc w:val="center"/>
              <w:textAlignment w:val="center"/>
              <w:rPr>
                <w:rFonts w:hint="eastAsia" w:ascii="宋体" w:hAnsi="宋体" w:cs="宋体"/>
                <w:color w:val="000000"/>
                <w:sz w:val="18"/>
                <w:szCs w:val="18"/>
              </w:rPr>
            </w:pPr>
            <w:r>
              <w:rPr>
                <w:rStyle w:val="66"/>
                <w:rFonts w:hint="default"/>
                <w:lang w:bidi="ar"/>
              </w:rPr>
              <w:t>其它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EC71">
            <w:pPr>
              <w:widowControl/>
              <w:jc w:val="left"/>
              <w:textAlignment w:val="center"/>
              <w:rPr>
                <w:rFonts w:hint="eastAsia" w:ascii="宋体" w:hAnsi="宋体" w:cs="宋体"/>
                <w:color w:val="000000"/>
                <w:sz w:val="18"/>
                <w:szCs w:val="18"/>
              </w:rPr>
            </w:pPr>
            <w:r>
              <w:rPr>
                <w:rStyle w:val="66"/>
                <w:rFonts w:hint="default"/>
                <w:lang w:bidi="ar"/>
              </w:rPr>
              <w:t>防雷</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753A">
            <w:pPr>
              <w:widowControl/>
              <w:jc w:val="left"/>
              <w:textAlignment w:val="center"/>
              <w:rPr>
                <w:rFonts w:hint="eastAsia" w:ascii="宋体" w:hAnsi="宋体" w:cs="宋体"/>
                <w:color w:val="000000"/>
                <w:sz w:val="18"/>
                <w:szCs w:val="18"/>
              </w:rPr>
            </w:pPr>
            <w:r>
              <w:rPr>
                <w:rStyle w:val="66"/>
                <w:rFonts w:hint="default"/>
                <w:lang w:bidi="ar"/>
              </w:rPr>
              <w:t>具备</w:t>
            </w:r>
          </w:p>
        </w:tc>
      </w:tr>
      <w:tr w14:paraId="13CCCCCA">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FC4BE">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79AC">
            <w:pPr>
              <w:widowControl/>
              <w:jc w:val="left"/>
              <w:textAlignment w:val="center"/>
              <w:rPr>
                <w:rFonts w:hint="eastAsia" w:ascii="宋体" w:hAnsi="宋体" w:cs="宋体"/>
                <w:color w:val="000000"/>
                <w:sz w:val="18"/>
                <w:szCs w:val="18"/>
              </w:rPr>
            </w:pPr>
            <w:r>
              <w:rPr>
                <w:rStyle w:val="66"/>
                <w:rFonts w:hint="default"/>
                <w:lang w:bidi="ar"/>
              </w:rPr>
              <w:t>接地</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B4B8">
            <w:pPr>
              <w:widowControl/>
              <w:jc w:val="left"/>
              <w:textAlignment w:val="center"/>
              <w:rPr>
                <w:rFonts w:hint="eastAsia" w:ascii="宋体" w:hAnsi="宋体" w:cs="宋体"/>
                <w:color w:val="000000"/>
                <w:sz w:val="18"/>
                <w:szCs w:val="18"/>
              </w:rPr>
            </w:pPr>
            <w:r>
              <w:rPr>
                <w:rStyle w:val="66"/>
                <w:rFonts w:hint="default"/>
                <w:lang w:bidi="ar"/>
              </w:rPr>
              <w:t>具备</w:t>
            </w:r>
          </w:p>
        </w:tc>
      </w:tr>
      <w:tr w14:paraId="2F355762">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921F9">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16F6">
            <w:pPr>
              <w:widowControl/>
              <w:jc w:val="left"/>
              <w:textAlignment w:val="center"/>
              <w:rPr>
                <w:rFonts w:hint="eastAsia" w:ascii="宋体" w:hAnsi="宋体" w:cs="宋体"/>
                <w:color w:val="000000"/>
                <w:sz w:val="18"/>
                <w:szCs w:val="18"/>
              </w:rPr>
            </w:pPr>
            <w:r>
              <w:rPr>
                <w:rStyle w:val="66"/>
                <w:rFonts w:hint="default"/>
                <w:lang w:bidi="ar"/>
              </w:rPr>
              <w:t>计量</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BC79">
            <w:pPr>
              <w:widowControl/>
              <w:jc w:val="left"/>
              <w:textAlignment w:val="center"/>
              <w:rPr>
                <w:rFonts w:hint="eastAsia" w:ascii="宋体" w:hAnsi="宋体" w:cs="宋体"/>
                <w:color w:val="000000"/>
                <w:sz w:val="18"/>
                <w:szCs w:val="18"/>
              </w:rPr>
            </w:pPr>
            <w:r>
              <w:rPr>
                <w:rStyle w:val="66"/>
                <w:rFonts w:hint="default"/>
                <w:lang w:bidi="ar"/>
              </w:rPr>
              <w:t>独立直流计量</w:t>
            </w:r>
          </w:p>
        </w:tc>
      </w:tr>
      <w:tr w14:paraId="7CE5FCFE">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613E2">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914D">
            <w:pPr>
              <w:widowControl/>
              <w:jc w:val="left"/>
              <w:textAlignment w:val="center"/>
              <w:rPr>
                <w:rFonts w:hint="eastAsia" w:ascii="宋体" w:hAnsi="宋体" w:cs="宋体"/>
                <w:color w:val="000000"/>
                <w:sz w:val="18"/>
                <w:szCs w:val="18"/>
              </w:rPr>
            </w:pPr>
            <w:r>
              <w:rPr>
                <w:rStyle w:val="66"/>
                <w:rFonts w:hint="default"/>
                <w:lang w:bidi="ar"/>
              </w:rPr>
              <w:t>BMS数据异常</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2CC2">
            <w:pPr>
              <w:widowControl/>
              <w:jc w:val="left"/>
              <w:textAlignment w:val="center"/>
              <w:rPr>
                <w:rFonts w:hint="eastAsia" w:ascii="宋体" w:hAnsi="宋体" w:cs="宋体"/>
                <w:color w:val="000000"/>
                <w:sz w:val="18"/>
                <w:szCs w:val="18"/>
              </w:rPr>
            </w:pPr>
            <w:r>
              <w:rPr>
                <w:rStyle w:val="66"/>
                <w:rFonts w:hint="default"/>
                <w:lang w:bidi="ar"/>
              </w:rPr>
              <w:t>告警或保护</w:t>
            </w:r>
          </w:p>
        </w:tc>
      </w:tr>
      <w:tr w14:paraId="65149599">
        <w:tblPrEx>
          <w:tblCellMar>
            <w:top w:w="0" w:type="dxa"/>
            <w:left w:w="108" w:type="dxa"/>
            <w:bottom w:w="0" w:type="dxa"/>
            <w:right w:w="108" w:type="dxa"/>
          </w:tblCellMar>
        </w:tblPrEx>
        <w:trPr>
          <w:trHeight w:val="400" w:hRule="atLeast"/>
        </w:trPr>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79968">
            <w:pPr>
              <w:jc w:val="center"/>
              <w:rPr>
                <w:rFonts w:hint="eastAsia" w:ascii="宋体" w:hAnsi="宋体" w:cs="宋体"/>
                <w:color w:val="000000"/>
                <w:sz w:val="18"/>
                <w:szCs w:val="18"/>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EB71">
            <w:pPr>
              <w:widowControl/>
              <w:jc w:val="left"/>
              <w:textAlignment w:val="center"/>
              <w:rPr>
                <w:rFonts w:hint="eastAsia" w:ascii="宋体" w:hAnsi="宋体" w:cs="宋体"/>
                <w:color w:val="000000"/>
                <w:sz w:val="18"/>
                <w:szCs w:val="18"/>
              </w:rPr>
            </w:pPr>
            <w:r>
              <w:rPr>
                <w:rStyle w:val="66"/>
                <w:rFonts w:hint="default"/>
                <w:lang w:bidi="ar"/>
              </w:rPr>
              <w:t>急停</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44E3">
            <w:pPr>
              <w:widowControl/>
              <w:jc w:val="left"/>
              <w:textAlignment w:val="center"/>
              <w:rPr>
                <w:rFonts w:hint="eastAsia" w:ascii="宋体" w:hAnsi="宋体" w:cs="宋体"/>
                <w:color w:val="000000"/>
                <w:sz w:val="18"/>
                <w:szCs w:val="18"/>
              </w:rPr>
            </w:pPr>
            <w:r>
              <w:rPr>
                <w:rStyle w:val="66"/>
                <w:rFonts w:hint="default"/>
                <w:lang w:bidi="ar"/>
              </w:rPr>
              <w:t>具备</w:t>
            </w:r>
          </w:p>
        </w:tc>
      </w:tr>
    </w:tbl>
    <w:p w14:paraId="5FFA5698">
      <w:pPr>
        <w:widowControl/>
        <w:autoSpaceDE w:val="0"/>
        <w:autoSpaceDN w:val="0"/>
        <w:spacing w:line="360" w:lineRule="auto"/>
        <w:jc w:val="center"/>
        <w:rPr>
          <w:rFonts w:hint="eastAsia" w:ascii="宋体" w:hAnsi="宋体"/>
          <w:szCs w:val="21"/>
        </w:rPr>
      </w:pPr>
    </w:p>
    <w:p w14:paraId="054B354F">
      <w:pPr>
        <w:spacing w:line="16" w:lineRule="exact"/>
      </w:pPr>
    </w:p>
    <w:p w14:paraId="3148D00C">
      <w:pPr>
        <w:numPr>
          <w:ilvl w:val="0"/>
          <w:numId w:val="10"/>
        </w:numPr>
        <w:spacing w:line="320" w:lineRule="exact"/>
        <w:ind w:firstLine="422" w:firstLineChars="200"/>
        <w:rPr>
          <w:rFonts w:ascii="宋体" w:hAnsi="宋体"/>
          <w:b/>
          <w:szCs w:val="21"/>
        </w:rPr>
      </w:pPr>
      <w:r>
        <w:rPr>
          <w:rFonts w:hint="eastAsia" w:ascii="宋体" w:hAnsi="宋体"/>
          <w:b/>
          <w:szCs w:val="21"/>
        </w:rPr>
        <w:t>功能</w:t>
      </w:r>
      <w:r>
        <w:rPr>
          <w:rFonts w:ascii="宋体" w:hAnsi="宋体"/>
          <w:b/>
          <w:szCs w:val="21"/>
        </w:rPr>
        <w:t>要求</w:t>
      </w:r>
    </w:p>
    <w:p w14:paraId="501A654F">
      <w:pPr>
        <w:autoSpaceDE w:val="0"/>
        <w:autoSpaceDN w:val="0"/>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分体机功率动态分配</w:t>
      </w:r>
    </w:p>
    <w:p w14:paraId="5BDF61A5">
      <w:pPr>
        <w:autoSpaceDE w:val="0"/>
        <w:autoSpaceDN w:val="0"/>
        <w:spacing w:line="360" w:lineRule="auto"/>
        <w:ind w:firstLine="420" w:firstLineChars="200"/>
        <w:rPr>
          <w:rFonts w:hint="eastAsia" w:ascii="宋体" w:hAnsi="宋体" w:eastAsia="宋体"/>
          <w:szCs w:val="21"/>
          <w:lang w:eastAsia="zh-CN"/>
        </w:rPr>
      </w:pPr>
      <w:r>
        <w:rPr>
          <w:rFonts w:hint="eastAsia" w:ascii="宋体" w:hAnsi="宋体"/>
          <w:szCs w:val="21"/>
        </w:rPr>
        <w:t>充电机具备功率动态分配功能，多枪充电时，可根据用户充电请求、电池充电需求、上级监控平台调控指令，按既定的控制策略动态调整分配至各个充电枪的充电模块数量。任意模块可投切至任意一把枪，实现以单模块为颗粒度进行智能功率投切</w:t>
      </w:r>
      <w:r>
        <w:rPr>
          <w:rFonts w:hint="eastAsia" w:ascii="宋体" w:hAnsi="宋体"/>
          <w:szCs w:val="21"/>
          <w:lang w:eastAsia="zh-CN"/>
        </w:rPr>
        <w:t>。</w:t>
      </w:r>
    </w:p>
    <w:p w14:paraId="23B1E144">
      <w:pPr>
        <w:autoSpaceDE w:val="0"/>
        <w:autoSpaceDN w:val="0"/>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扩展能力</w:t>
      </w:r>
    </w:p>
    <w:p w14:paraId="7A1BBDE0">
      <w:pPr>
        <w:numPr>
          <w:ilvl w:val="-1"/>
          <w:numId w:val="0"/>
        </w:numPr>
        <w:autoSpaceDE w:val="0"/>
        <w:autoSpaceDN w:val="0"/>
        <w:snapToGrid/>
        <w:spacing w:before="0" w:beforeLines="-2147483648" w:line="360" w:lineRule="auto"/>
        <w:ind w:firstLine="420" w:firstLineChars="200"/>
        <w:rPr>
          <w:rFonts w:hint="eastAsia" w:ascii="宋体" w:hAnsi="宋体"/>
          <w:szCs w:val="21"/>
        </w:rPr>
      </w:pPr>
      <w:r>
        <w:rPr>
          <w:rFonts w:hint="eastAsia" w:ascii="宋体" w:hAnsi="宋体"/>
          <w:szCs w:val="21"/>
        </w:rPr>
        <w:t>针对480kW分体式直流充电机，应具备横向扩展能力，支持现场扩展至十二枪输出（无需任何改造）；另外支持至少输出1把600A液冷超充枪。</w:t>
      </w:r>
    </w:p>
    <w:p w14:paraId="1463B2EB">
      <w:pPr>
        <w:autoSpaceDE w:val="0"/>
        <w:autoSpaceDN w:val="0"/>
        <w:spacing w:line="360" w:lineRule="auto"/>
        <w:ind w:firstLine="420" w:firstLineChars="200"/>
        <w:rPr>
          <w:rFonts w:hint="eastAsia" w:ascii="宋体" w:hAnsi="宋体" w:eastAsia="宋体"/>
          <w:szCs w:val="21"/>
        </w:rPr>
      </w:pPr>
      <w:r>
        <w:rPr>
          <w:rFonts w:ascii="宋体" w:hAnsi="宋体"/>
          <w:szCs w:val="21"/>
        </w:rPr>
        <w:t>3.</w:t>
      </w:r>
      <w:r>
        <w:rPr>
          <w:rFonts w:hint="eastAsia" w:ascii="宋体" w:hAnsi="宋体" w:eastAsia="宋体"/>
          <w:szCs w:val="21"/>
        </w:rPr>
        <w:t>充电机与上级监控管理系统通信功能</w:t>
      </w:r>
    </w:p>
    <w:p w14:paraId="4FD3AF4C">
      <w:pPr>
        <w:autoSpaceDE w:val="0"/>
        <w:autoSpaceDN w:val="0"/>
        <w:snapToGrid/>
        <w:spacing w:before="0" w:beforeLines="-2147483648" w:line="360" w:lineRule="auto"/>
        <w:ind w:firstLine="420" w:firstLineChars="200"/>
        <w:rPr>
          <w:rFonts w:hint="eastAsia" w:ascii="宋体" w:hAnsi="宋体"/>
          <w:szCs w:val="21"/>
        </w:rPr>
      </w:pPr>
      <w:r>
        <w:rPr>
          <w:rFonts w:hint="eastAsia" w:ascii="宋体" w:hAnsi="宋体"/>
          <w:szCs w:val="21"/>
        </w:rPr>
        <w:t>充电机可选配同时支持中国移动、中国联通、中国电信4G的全网通通信模块（不含流量卡），并应支持通过以太网接口和上级监控系统通信。当充电机配置4G通信模块后，能够实现有线网络和无线网络双备份，提升通讯稳定性。</w:t>
      </w:r>
    </w:p>
    <w:p w14:paraId="327E4884">
      <w:pPr>
        <w:autoSpaceDE w:val="0"/>
        <w:autoSpaceDN w:val="0"/>
        <w:snapToGrid/>
        <w:spacing w:before="0" w:beforeLines="-2147483648" w:line="360" w:lineRule="auto"/>
        <w:ind w:firstLine="420" w:firstLineChars="200"/>
        <w:rPr>
          <w:rFonts w:hint="eastAsia" w:ascii="宋体" w:hAnsi="宋体"/>
          <w:szCs w:val="21"/>
        </w:rPr>
      </w:pPr>
      <w:r>
        <w:rPr>
          <w:rFonts w:hint="eastAsia" w:ascii="宋体" w:hAnsi="宋体"/>
          <w:szCs w:val="21"/>
        </w:rPr>
        <w:t>分体式直流充电机应在充电终端内实现和上级监控管理系统的组网通讯功能，选配的4G通讯模块应位于充电终端内，单个充电终端通讯模块出故障不能影响其他充电终端的正常通讯。</w:t>
      </w:r>
    </w:p>
    <w:p w14:paraId="3EBC2F07">
      <w:pPr>
        <w:autoSpaceDE w:val="0"/>
        <w:autoSpaceDN w:val="0"/>
        <w:spacing w:line="360" w:lineRule="auto"/>
        <w:ind w:firstLine="420" w:firstLineChars="200"/>
        <w:rPr>
          <w:rFonts w:hint="eastAsia" w:ascii="宋体" w:hAnsi="宋体"/>
          <w:szCs w:val="21"/>
        </w:rPr>
      </w:pPr>
      <w:r>
        <w:rPr>
          <w:rFonts w:ascii="宋体" w:hAnsi="宋体"/>
          <w:szCs w:val="21"/>
        </w:rPr>
        <w:t>4.故障</w:t>
      </w:r>
      <w:r>
        <w:rPr>
          <w:rFonts w:hint="eastAsia" w:ascii="宋体" w:hAnsi="宋体"/>
          <w:szCs w:val="21"/>
        </w:rPr>
        <w:t>录波功能</w:t>
      </w:r>
    </w:p>
    <w:p w14:paraId="54650778">
      <w:pPr>
        <w:autoSpaceDE w:val="0"/>
        <w:autoSpaceDN w:val="0"/>
        <w:spacing w:line="360" w:lineRule="auto"/>
        <w:ind w:firstLine="420" w:firstLineChars="200"/>
        <w:rPr>
          <w:rFonts w:hint="eastAsia" w:ascii="宋体" w:hAnsi="宋体"/>
          <w:szCs w:val="21"/>
        </w:rPr>
      </w:pPr>
      <w:r>
        <w:rPr>
          <w:rFonts w:hint="eastAsia" w:ascii="宋体" w:hAnsi="宋体"/>
          <w:szCs w:val="21"/>
        </w:rPr>
        <w:t>直流充电机应具备故障录波功能，在充电过程中，当出现疑似故障特征或实际故障发生后，应记录故障前后电池、充电机的关键信息（电压、电流、SOC、温度、单体电池信息、通讯报文等），并进行本地存储并同时上传至监控后台，实现本地和远程双存储备份。</w:t>
      </w:r>
    </w:p>
    <w:p w14:paraId="33CA2C8D">
      <w:pPr>
        <w:spacing w:line="320" w:lineRule="exact"/>
        <w:ind w:firstLine="422" w:firstLineChars="200"/>
        <w:rPr>
          <w:rFonts w:hint="eastAsia" w:ascii="宋体" w:hAnsi="宋体"/>
          <w:b/>
          <w:szCs w:val="21"/>
        </w:rPr>
      </w:pPr>
      <w:r>
        <w:rPr>
          <w:rFonts w:hint="eastAsia" w:ascii="宋体" w:hAnsi="宋体"/>
          <w:b/>
          <w:szCs w:val="21"/>
        </w:rPr>
        <w:t>四、</w:t>
      </w:r>
      <w:r>
        <w:rPr>
          <w:rFonts w:ascii="宋体" w:hAnsi="宋体"/>
          <w:b/>
          <w:szCs w:val="21"/>
        </w:rPr>
        <w:t>结构要求</w:t>
      </w:r>
    </w:p>
    <w:p w14:paraId="1B0D7844">
      <w:pPr>
        <w:autoSpaceDE w:val="0"/>
        <w:autoSpaceDN w:val="0"/>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充电接口</w:t>
      </w:r>
    </w:p>
    <w:p w14:paraId="6ECB90A2">
      <w:pPr>
        <w:autoSpaceDE w:val="0"/>
        <w:autoSpaceDN w:val="0"/>
        <w:spacing w:line="360" w:lineRule="auto"/>
        <w:ind w:firstLine="420" w:firstLineChars="200"/>
        <w:rPr>
          <w:rFonts w:hint="eastAsia" w:ascii="宋体" w:hAnsi="宋体"/>
          <w:szCs w:val="21"/>
        </w:rPr>
      </w:pPr>
      <w:r>
        <w:rPr>
          <w:rFonts w:hint="eastAsia" w:ascii="宋体" w:hAnsi="宋体"/>
          <w:szCs w:val="21"/>
        </w:rPr>
        <w:t>（1）充电堆设备应提供标准通用充电接口，能满足所有车型接口配置需求。</w:t>
      </w:r>
    </w:p>
    <w:p w14:paraId="12787F14">
      <w:pPr>
        <w:autoSpaceDE w:val="0"/>
        <w:autoSpaceDN w:val="0"/>
        <w:spacing w:line="360" w:lineRule="auto"/>
        <w:ind w:firstLine="420" w:firstLineChars="200"/>
        <w:rPr>
          <w:rFonts w:hint="eastAsia" w:ascii="宋体" w:hAnsi="宋体"/>
          <w:szCs w:val="21"/>
        </w:rPr>
      </w:pPr>
      <w:r>
        <w:rPr>
          <w:rFonts w:hint="eastAsia" w:ascii="宋体" w:hAnsi="宋体"/>
          <w:szCs w:val="21"/>
        </w:rPr>
        <w:t>（2）充电插接口符合国家标准GB/T 20234.3-2023的要求。</w:t>
      </w:r>
    </w:p>
    <w:p w14:paraId="33AFEF38">
      <w:pPr>
        <w:autoSpaceDE w:val="0"/>
        <w:autoSpaceDN w:val="0"/>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充电接口应采用防尘、防水设计。</w:t>
      </w:r>
    </w:p>
    <w:p w14:paraId="46422A25">
      <w:pPr>
        <w:autoSpaceDE w:val="0"/>
        <w:autoSpaceDN w:val="0"/>
        <w:spacing w:line="360" w:lineRule="auto"/>
        <w:ind w:firstLine="420" w:firstLineChars="200"/>
        <w:rPr>
          <w:rFonts w:hint="eastAsia" w:ascii="宋体" w:hAnsi="宋体"/>
          <w:szCs w:val="21"/>
        </w:rPr>
      </w:pPr>
      <w:r>
        <w:rPr>
          <w:rFonts w:hint="eastAsia" w:ascii="宋体" w:hAnsi="宋体"/>
          <w:szCs w:val="21"/>
        </w:rPr>
        <w:t>2.充电设备</w:t>
      </w:r>
    </w:p>
    <w:p w14:paraId="7357A3FB">
      <w:pPr>
        <w:autoSpaceDE w:val="0"/>
        <w:autoSpaceDN w:val="0"/>
        <w:spacing w:line="360" w:lineRule="auto"/>
        <w:ind w:firstLine="420" w:firstLineChars="200"/>
        <w:rPr>
          <w:rFonts w:hint="eastAsia" w:ascii="宋体" w:hAnsi="宋体"/>
          <w:szCs w:val="21"/>
        </w:rPr>
      </w:pPr>
      <w:r>
        <w:rPr>
          <w:rFonts w:hint="eastAsia" w:ascii="宋体" w:hAnsi="宋体"/>
          <w:szCs w:val="21"/>
        </w:rPr>
        <w:t>（1）充电堆设备外壳应采用防腐蚀材质且全封闭，具有一定防撞击性能，外观设计时尚流畅，整体无外露锐角，表面涂覆色泽层应均匀光洁，不起泡、不龟裂、不脱落。</w:t>
      </w:r>
    </w:p>
    <w:p w14:paraId="20063605">
      <w:pPr>
        <w:autoSpaceDE w:val="0"/>
        <w:autoSpaceDN w:val="0"/>
        <w:spacing w:line="360" w:lineRule="auto"/>
        <w:ind w:firstLine="420" w:firstLineChars="200"/>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）整流柜和充电终端都应装设急停保护装置，即在紧急情况下，可从硬件上切断充电回路；当整流柜启动急停装置时，应切断所有充电终端的直流输出。充电终端启动急停装置时，应切断此充电终端的直流输出；</w:t>
      </w:r>
    </w:p>
    <w:p w14:paraId="231E8EEF">
      <w:pPr>
        <w:numPr>
          <w:ilvl w:val="-1"/>
          <w:numId w:val="0"/>
        </w:numPr>
        <w:spacing w:line="320" w:lineRule="exact"/>
        <w:ind w:firstLine="422" w:firstLineChars="200"/>
        <w:rPr>
          <w:rFonts w:hint="default" w:ascii="宋体" w:hAnsi="宋体"/>
          <w:b/>
          <w:szCs w:val="21"/>
        </w:rPr>
      </w:pPr>
      <w:r>
        <w:rPr>
          <w:rFonts w:hint="eastAsia" w:ascii="宋体" w:hAnsi="宋体" w:eastAsia="宋体" w:cs="Times New Roman"/>
          <w:b/>
          <w:szCs w:val="21"/>
          <w:lang w:val="en-US" w:eastAsia="zh-CN"/>
        </w:rPr>
        <w:t>五、</w:t>
      </w:r>
      <w:r>
        <w:rPr>
          <w:rFonts w:hint="default" w:ascii="宋体" w:hAnsi="宋体"/>
          <w:b/>
          <w:szCs w:val="21"/>
        </w:rPr>
        <w:t>充电堆外观</w:t>
      </w:r>
    </w:p>
    <w:p w14:paraId="665E3220">
      <w:pPr>
        <w:autoSpaceDE w:val="0"/>
        <w:autoSpaceDN w:val="0"/>
        <w:spacing w:line="360" w:lineRule="auto"/>
        <w:ind w:firstLine="420" w:firstLineChars="200"/>
        <w:rPr>
          <w:rFonts w:hint="eastAsia" w:ascii="宋体" w:hAnsi="宋体"/>
          <w:szCs w:val="21"/>
        </w:rPr>
      </w:pPr>
      <w:r>
        <w:rPr>
          <w:rFonts w:hint="eastAsia" w:ascii="宋体" w:hAnsi="宋体"/>
          <w:szCs w:val="21"/>
        </w:rPr>
        <w:t>充电堆设备外观必须按照以下附图喷绘logo：</w:t>
      </w:r>
    </w:p>
    <w:p w14:paraId="46B5E485"/>
    <w:p w14:paraId="4B0C9590"/>
    <w:p w14:paraId="3CD28796"/>
    <w:p w14:paraId="73A849E6">
      <w:pPr>
        <w:rPr>
          <w:rFonts w:hint="eastAsia" w:ascii="宋体" w:hAnsi="宋体"/>
          <w:b/>
          <w:bCs/>
          <w:kern w:val="44"/>
          <w:sz w:val="44"/>
          <w:szCs w:val="44"/>
        </w:rPr>
      </w:pPr>
      <w:r>
        <w:rPr>
          <w:rFonts w:hint="eastAsia" w:ascii="宋体" w:hAnsi="宋体"/>
          <w:b/>
          <w:bCs/>
          <w:kern w:val="44"/>
          <w:sz w:val="44"/>
          <w:szCs w:val="44"/>
        </w:rPr>
        <w:drawing>
          <wp:inline distT="0" distB="0" distL="114300" distR="114300">
            <wp:extent cx="4611370" cy="1338580"/>
            <wp:effectExtent l="0" t="0" r="6350" b="2540"/>
            <wp:docPr id="1" name="图片 1" descr="c5b507a0af2bee263bef2d69eddb8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5b507a0af2bee263bef2d69eddb84e"/>
                    <pic:cNvPicPr>
                      <a:picLocks noChangeAspect="1"/>
                    </pic:cNvPicPr>
                  </pic:nvPicPr>
                  <pic:blipFill>
                    <a:blip r:embed="rId16"/>
                    <a:stretch>
                      <a:fillRect/>
                    </a:stretch>
                  </pic:blipFill>
                  <pic:spPr>
                    <a:xfrm>
                      <a:off x="0" y="0"/>
                      <a:ext cx="4611370" cy="1338580"/>
                    </a:xfrm>
                    <a:prstGeom prst="rect">
                      <a:avLst/>
                    </a:prstGeom>
                  </pic:spPr>
                </pic:pic>
              </a:graphicData>
            </a:graphic>
          </wp:inline>
        </w:drawing>
      </w:r>
    </w:p>
    <w:p w14:paraId="1A27F68A"/>
    <w:p w14:paraId="0A29DAE3">
      <w:pPr>
        <w:pStyle w:val="15"/>
      </w:pPr>
    </w:p>
    <w:p w14:paraId="02BEE646">
      <w:pPr>
        <w:pStyle w:val="15"/>
      </w:pPr>
    </w:p>
    <w:p w14:paraId="7094BA8F">
      <w:pPr>
        <w:pStyle w:val="44"/>
      </w:pPr>
    </w:p>
    <w:p w14:paraId="14C5E376">
      <w:pPr>
        <w:pStyle w:val="44"/>
      </w:pPr>
    </w:p>
    <w:p w14:paraId="06B3D274"/>
    <w:p w14:paraId="3B9D628A"/>
    <w:p w14:paraId="1FDA1D07"/>
    <w:p w14:paraId="0D9867AB"/>
    <w:p w14:paraId="2ACDC198"/>
    <w:p w14:paraId="3288C015"/>
    <w:p w14:paraId="433DB3A1"/>
    <w:p w14:paraId="312104B3"/>
    <w:p w14:paraId="5ABE1F5E"/>
    <w:p w14:paraId="4AC638E8"/>
    <w:p w14:paraId="3181FB5E"/>
    <w:p w14:paraId="62950BE1"/>
    <w:p w14:paraId="0AF5A290"/>
    <w:p w14:paraId="0C6A3067"/>
    <w:p w14:paraId="60CF9AD6"/>
    <w:p w14:paraId="5344CC16"/>
    <w:p w14:paraId="11563792"/>
    <w:p w14:paraId="339E8BC5">
      <w:pPr>
        <w:rPr>
          <w:rFonts w:eastAsia="黑体"/>
          <w:sz w:val="28"/>
        </w:rPr>
      </w:pPr>
      <w:bookmarkStart w:id="38" w:name="_Toc29004"/>
      <w:bookmarkStart w:id="39" w:name="_Toc32223"/>
      <w:bookmarkStart w:id="40" w:name="_Toc7848"/>
      <w:bookmarkStart w:id="41" w:name="_Toc27230"/>
    </w:p>
    <w:p w14:paraId="6464D317">
      <w:pPr>
        <w:rPr>
          <w:rFonts w:eastAsia="黑体"/>
          <w:sz w:val="28"/>
        </w:rPr>
      </w:pPr>
    </w:p>
    <w:p w14:paraId="0B0300FC">
      <w:pPr>
        <w:rPr>
          <w:rFonts w:eastAsia="黑体"/>
          <w:sz w:val="28"/>
        </w:rPr>
      </w:pPr>
    </w:p>
    <w:p w14:paraId="0D497F0B">
      <w:pPr>
        <w:rPr>
          <w:rFonts w:eastAsia="黑体"/>
          <w:sz w:val="28"/>
        </w:rPr>
      </w:pPr>
    </w:p>
    <w:p w14:paraId="579B8503">
      <w:pPr>
        <w:rPr>
          <w:rFonts w:eastAsia="黑体"/>
          <w:sz w:val="28"/>
        </w:rPr>
      </w:pPr>
    </w:p>
    <w:p w14:paraId="044AB0E4">
      <w:pPr>
        <w:pStyle w:val="2"/>
        <w:ind w:firstLine="560"/>
      </w:pPr>
    </w:p>
    <w:p w14:paraId="4070C46A">
      <w:pPr>
        <w:rPr>
          <w:rFonts w:eastAsia="黑体"/>
          <w:sz w:val="28"/>
        </w:rPr>
      </w:pPr>
    </w:p>
    <w:p w14:paraId="412BE914">
      <w:pPr>
        <w:ind w:firstLine="5600" w:firstLineChars="2000"/>
        <w:rPr>
          <w:rFonts w:eastAsia="黑体"/>
          <w:sz w:val="28"/>
        </w:rPr>
      </w:pPr>
    </w:p>
    <w:p w14:paraId="753F11AB">
      <w:pPr>
        <w:keepLines/>
        <w:spacing w:line="360" w:lineRule="auto"/>
        <w:jc w:val="center"/>
        <w:rPr>
          <w:rFonts w:hint="eastAsia"/>
        </w:rPr>
      </w:pPr>
    </w:p>
    <w:p w14:paraId="0F95BB92">
      <w:pPr>
        <w:keepLines/>
        <w:spacing w:line="360" w:lineRule="auto"/>
        <w:rPr>
          <w:rFonts w:hint="eastAsia"/>
        </w:rPr>
      </w:pPr>
    </w:p>
    <w:p w14:paraId="7E49799F">
      <w:pPr>
        <w:keepLines/>
        <w:spacing w:line="360" w:lineRule="auto"/>
        <w:jc w:val="center"/>
        <w:rPr>
          <w:rFonts w:hint="eastAsia"/>
        </w:rPr>
      </w:pPr>
    </w:p>
    <w:p w14:paraId="63CBC1B2">
      <w:pPr>
        <w:pStyle w:val="5"/>
        <w:keepLines/>
        <w:spacing w:line="360" w:lineRule="auto"/>
        <w:jc w:val="center"/>
        <w:rPr>
          <w:rFonts w:hint="eastAsia" w:ascii="宋体" w:hAnsi="宋体"/>
          <w:b/>
          <w:bCs/>
          <w:kern w:val="44"/>
          <w:sz w:val="44"/>
          <w:szCs w:val="44"/>
          <w:u w:val="none"/>
        </w:rPr>
      </w:pPr>
      <w:bookmarkStart w:id="42" w:name="_Toc24730"/>
      <w:r>
        <w:rPr>
          <w:rFonts w:hint="eastAsia" w:ascii="宋体" w:hAnsi="宋体"/>
          <w:b/>
          <w:bCs/>
          <w:kern w:val="44"/>
          <w:sz w:val="44"/>
          <w:szCs w:val="44"/>
          <w:u w:val="none"/>
        </w:rPr>
        <w:t>第五章 合同条款及格式</w:t>
      </w:r>
      <w:bookmarkEnd w:id="33"/>
      <w:bookmarkEnd w:id="38"/>
      <w:bookmarkEnd w:id="39"/>
      <w:bookmarkEnd w:id="40"/>
      <w:bookmarkEnd w:id="41"/>
      <w:bookmarkEnd w:id="42"/>
      <w:bookmarkStart w:id="43" w:name="_Toc496658015"/>
      <w:bookmarkStart w:id="44" w:name="_Toc188260937"/>
    </w:p>
    <w:p w14:paraId="1AD2AA19">
      <w:pPr>
        <w:jc w:val="center"/>
        <w:rPr>
          <w:rFonts w:eastAsia="黑体"/>
          <w:sz w:val="52"/>
        </w:rPr>
      </w:pPr>
      <w:bookmarkStart w:id="45" w:name="_Toc11954"/>
    </w:p>
    <w:p w14:paraId="1ED45228">
      <w:pPr>
        <w:jc w:val="center"/>
        <w:rPr>
          <w:rFonts w:eastAsia="黑体"/>
          <w:sz w:val="52"/>
        </w:rPr>
      </w:pPr>
    </w:p>
    <w:p w14:paraId="52609089">
      <w:pPr>
        <w:jc w:val="center"/>
        <w:rPr>
          <w:rFonts w:eastAsia="黑体"/>
          <w:sz w:val="52"/>
        </w:rPr>
      </w:pPr>
    </w:p>
    <w:p w14:paraId="5D95C6F6">
      <w:pPr>
        <w:jc w:val="center"/>
        <w:rPr>
          <w:rFonts w:eastAsia="黑体"/>
          <w:sz w:val="52"/>
        </w:rPr>
      </w:pPr>
    </w:p>
    <w:p w14:paraId="5DDB5262">
      <w:pPr>
        <w:jc w:val="left"/>
        <w:rPr>
          <w:rFonts w:hint="eastAsia" w:eastAsia="黑体"/>
          <w:sz w:val="52"/>
        </w:rPr>
      </w:pPr>
      <w:r>
        <w:rPr>
          <w:rFonts w:hint="eastAsia" w:eastAsia="黑体"/>
          <w:sz w:val="52"/>
        </w:rPr>
        <w:br w:type="page"/>
      </w:r>
    </w:p>
    <w:p w14:paraId="6D847C61">
      <w:pPr>
        <w:jc w:val="right"/>
        <w:rPr>
          <w:rFonts w:ascii="仿宋" w:hAnsi="仿宋" w:eastAsia="仿宋" w:cs="仿宋"/>
          <w:sz w:val="28"/>
        </w:rPr>
      </w:pPr>
      <w:r>
        <w:rPr>
          <w:rFonts w:hint="eastAsia" w:ascii="宋体" w:hAnsi="宋体"/>
          <w:sz w:val="32"/>
          <w:szCs w:val="32"/>
        </w:rPr>
        <w:t xml:space="preserve"> </w:t>
      </w:r>
      <w:r>
        <w:rPr>
          <w:rFonts w:hint="eastAsia" w:ascii="仿宋" w:hAnsi="仿宋" w:eastAsia="仿宋" w:cs="仿宋"/>
          <w:sz w:val="28"/>
          <w:szCs w:val="24"/>
        </w:rPr>
        <w:t xml:space="preserve">   </w:t>
      </w:r>
      <w:r>
        <w:rPr>
          <w:rFonts w:hint="eastAsia" w:ascii="仿宋" w:hAnsi="仿宋" w:eastAsia="仿宋" w:cs="仿宋"/>
          <w:sz w:val="28"/>
          <w:lang w:val="en-US" w:eastAsia="zh-CN"/>
        </w:rPr>
        <w:t>合</w:t>
      </w:r>
      <w:r>
        <w:rPr>
          <w:rFonts w:hint="eastAsia" w:ascii="仿宋" w:hAnsi="仿宋" w:eastAsia="仿宋" w:cs="仿宋"/>
          <w:sz w:val="28"/>
        </w:rPr>
        <w:t xml:space="preserve">同编号： </w:t>
      </w:r>
    </w:p>
    <w:p w14:paraId="2223BC9E">
      <w:pPr>
        <w:keepLines/>
        <w:spacing w:line="360" w:lineRule="auto"/>
        <w:jc w:val="center"/>
      </w:pPr>
    </w:p>
    <w:p w14:paraId="5A6F807B">
      <w:pPr>
        <w:keepLines/>
        <w:spacing w:line="360" w:lineRule="auto"/>
      </w:pPr>
    </w:p>
    <w:p w14:paraId="19AC1E7C">
      <w:pPr>
        <w:keepLines/>
        <w:spacing w:line="360" w:lineRule="auto"/>
        <w:jc w:val="center"/>
      </w:pPr>
    </w:p>
    <w:p w14:paraId="4B6CAAF2">
      <w:pPr>
        <w:jc w:val="center"/>
        <w:rPr>
          <w:rFonts w:ascii="仿宋" w:hAnsi="仿宋" w:eastAsia="仿宋" w:cs="仿宋"/>
          <w:sz w:val="52"/>
        </w:rPr>
      </w:pPr>
    </w:p>
    <w:p w14:paraId="48C1525A">
      <w:pPr>
        <w:jc w:val="center"/>
        <w:rPr>
          <w:rFonts w:ascii="仿宋" w:hAnsi="仿宋" w:eastAsia="仿宋" w:cs="仿宋"/>
          <w:sz w:val="52"/>
        </w:rPr>
      </w:pPr>
    </w:p>
    <w:p w14:paraId="33AE218A">
      <w:pPr>
        <w:jc w:val="center"/>
        <w:rPr>
          <w:rFonts w:ascii="仿宋" w:hAnsi="仿宋" w:eastAsia="仿宋" w:cs="仿宋"/>
          <w:sz w:val="52"/>
        </w:rPr>
      </w:pPr>
      <w:r>
        <w:rPr>
          <w:rFonts w:hint="eastAsia" w:ascii="仿宋" w:hAnsi="仿宋" w:eastAsia="仿宋" w:cs="仿宋"/>
          <w:sz w:val="52"/>
        </w:rPr>
        <w:t>设备采购合同</w:t>
      </w:r>
    </w:p>
    <w:p w14:paraId="46E37D96">
      <w:pPr>
        <w:jc w:val="center"/>
        <w:rPr>
          <w:rFonts w:ascii="仿宋" w:hAnsi="仿宋" w:eastAsia="仿宋" w:cs="仿宋"/>
          <w:sz w:val="36"/>
        </w:rPr>
      </w:pPr>
    </w:p>
    <w:p w14:paraId="702C3B30">
      <w:pPr>
        <w:jc w:val="center"/>
        <w:rPr>
          <w:rFonts w:ascii="仿宋" w:hAnsi="仿宋" w:eastAsia="仿宋" w:cs="仿宋"/>
          <w:sz w:val="36"/>
        </w:rPr>
      </w:pPr>
    </w:p>
    <w:p w14:paraId="5722C0CE">
      <w:pPr>
        <w:spacing w:line="480" w:lineRule="auto"/>
        <w:jc w:val="left"/>
        <w:rPr>
          <w:rFonts w:ascii="仿宋" w:hAnsi="仿宋" w:eastAsia="仿宋" w:cs="仿宋"/>
          <w:sz w:val="32"/>
          <w:szCs w:val="32"/>
        </w:rPr>
      </w:pPr>
    </w:p>
    <w:p w14:paraId="7FEA04FF">
      <w:pPr>
        <w:spacing w:line="480" w:lineRule="auto"/>
        <w:ind w:left="3198" w:leftChars="456" w:hanging="2240" w:hangingChars="700"/>
        <w:rPr>
          <w:rFonts w:hint="default" w:ascii="仿宋" w:hAnsi="仿宋" w:eastAsia="仿宋" w:cs="仿宋"/>
          <w:sz w:val="32"/>
          <w:szCs w:val="32"/>
          <w:lang w:val="en-US" w:eastAsia="zh-CN"/>
        </w:rPr>
      </w:pPr>
      <w:r>
        <w:rPr>
          <w:rFonts w:hint="eastAsia" w:ascii="仿宋" w:hAnsi="仿宋" w:eastAsia="仿宋" w:cs="仿宋"/>
          <w:sz w:val="32"/>
          <w:szCs w:val="32"/>
        </w:rPr>
        <w:t>项 目 名 称：</w:t>
      </w:r>
      <w:r>
        <w:rPr>
          <w:rFonts w:hint="eastAsia" w:ascii="仿宋" w:hAnsi="仿宋" w:eastAsia="仿宋" w:cs="仿宋"/>
          <w:sz w:val="32"/>
          <w:szCs w:val="32"/>
          <w:u w:val="single"/>
          <w:lang w:val="en-US" w:eastAsia="zh-CN"/>
        </w:rPr>
        <w:t xml:space="preserve">                                 </w:t>
      </w:r>
    </w:p>
    <w:p w14:paraId="5F3878E5">
      <w:pPr>
        <w:spacing w:line="480" w:lineRule="auto"/>
        <w:ind w:left="2558" w:leftChars="456" w:hanging="1600" w:hangingChars="500"/>
        <w:rPr>
          <w:rFonts w:ascii="仿宋" w:hAnsi="仿宋" w:eastAsia="仿宋" w:cs="仿宋"/>
          <w:sz w:val="32"/>
          <w:szCs w:val="32"/>
          <w:u w:val="single"/>
        </w:rPr>
      </w:pPr>
      <w:r>
        <w:rPr>
          <w:rFonts w:hint="eastAsia" w:ascii="仿宋" w:hAnsi="仿宋" w:eastAsia="仿宋" w:cs="仿宋"/>
          <w:sz w:val="32"/>
          <w:szCs w:val="32"/>
        </w:rPr>
        <w:t>采购方（甲方）：</w:t>
      </w:r>
      <w:r>
        <w:rPr>
          <w:rFonts w:hint="eastAsia" w:ascii="仿宋" w:hAnsi="仿宋" w:eastAsia="仿宋" w:cs="仿宋"/>
          <w:sz w:val="32"/>
          <w:szCs w:val="32"/>
          <w:u w:val="single"/>
        </w:rPr>
        <w:t>四川蜀道新能源科技发展有限公司</w:t>
      </w:r>
    </w:p>
    <w:p w14:paraId="2336B55D">
      <w:pPr>
        <w:spacing w:line="480" w:lineRule="auto"/>
        <w:ind w:firstLine="640" w:firstLineChars="200"/>
        <w:rPr>
          <w:rFonts w:hint="default" w:ascii="仿宋" w:hAnsi="仿宋" w:eastAsia="仿宋" w:cs="仿宋"/>
          <w:sz w:val="32"/>
          <w:szCs w:val="32"/>
          <w:u w:val="single"/>
          <w:lang w:val="en-US" w:eastAsia="zh-CN"/>
        </w:rPr>
      </w:pPr>
      <w:r>
        <w:rPr>
          <w:rFonts w:hint="eastAsia" w:ascii="仿宋" w:hAnsi="仿宋" w:eastAsia="仿宋" w:cs="仿宋"/>
          <w:sz w:val="32"/>
          <w:szCs w:val="32"/>
        </w:rPr>
        <w:t xml:space="preserve">  供应方（乙方）：</w:t>
      </w:r>
      <w:r>
        <w:rPr>
          <w:rFonts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p>
    <w:p w14:paraId="584E957B">
      <w:pPr>
        <w:spacing w:line="480" w:lineRule="auto"/>
        <w:ind w:firstLine="960" w:firstLineChars="300"/>
        <w:rPr>
          <w:rFonts w:hint="default" w:ascii="仿宋" w:hAnsi="仿宋" w:eastAsia="仿宋" w:cs="仿宋"/>
          <w:sz w:val="32"/>
          <w:szCs w:val="32"/>
          <w:lang w:val="en-US" w:eastAsia="zh-CN"/>
        </w:rPr>
      </w:pPr>
      <w:r>
        <w:rPr>
          <w:rFonts w:hint="eastAsia" w:ascii="仿宋" w:hAnsi="仿宋" w:eastAsia="仿宋" w:cs="仿宋"/>
          <w:sz w:val="32"/>
          <w:szCs w:val="32"/>
        </w:rPr>
        <w:t>签 订 时 间：</w:t>
      </w:r>
    </w:p>
    <w:p w14:paraId="573DD19C">
      <w:pPr>
        <w:spacing w:line="480" w:lineRule="auto"/>
        <w:ind w:left="218" w:hanging="217" w:hangingChars="68"/>
        <w:rPr>
          <w:rFonts w:hint="default" w:ascii="仿宋" w:hAnsi="仿宋" w:eastAsia="仿宋" w:cs="仿宋"/>
          <w:sz w:val="32"/>
          <w:szCs w:val="32"/>
          <w:lang w:val="en-US" w:eastAsia="zh-CN"/>
        </w:rPr>
      </w:pPr>
      <w:r>
        <w:rPr>
          <w:rFonts w:hint="eastAsia" w:ascii="仿宋" w:hAnsi="仿宋" w:eastAsia="仿宋" w:cs="仿宋"/>
          <w:sz w:val="32"/>
          <w:szCs w:val="32"/>
        </w:rPr>
        <w:t xml:space="preserve">      签 订 地 点：</w:t>
      </w:r>
    </w:p>
    <w:p w14:paraId="0F26E2FE">
      <w:pPr>
        <w:spacing w:line="640" w:lineRule="exact"/>
        <w:ind w:left="214" w:hanging="214" w:hangingChars="67"/>
        <w:rPr>
          <w:rFonts w:ascii="仿宋" w:hAnsi="仿宋" w:eastAsia="仿宋" w:cs="仿宋"/>
        </w:rPr>
      </w:pPr>
      <w:r>
        <w:rPr>
          <w:rFonts w:hint="eastAsia" w:ascii="仿宋" w:hAnsi="仿宋" w:eastAsia="仿宋" w:cs="仿宋"/>
          <w:sz w:val="32"/>
          <w:szCs w:val="32"/>
        </w:rPr>
        <w:t xml:space="preserve">    </w:t>
      </w:r>
    </w:p>
    <w:p w14:paraId="195DF738">
      <w:pPr>
        <w:jc w:val="center"/>
        <w:rPr>
          <w:rFonts w:ascii="仿宋" w:hAnsi="仿宋" w:eastAsia="仿宋" w:cs="仿宋"/>
          <w:sz w:val="44"/>
        </w:rPr>
      </w:pPr>
    </w:p>
    <w:p w14:paraId="6491DB68">
      <w:pPr>
        <w:jc w:val="center"/>
        <w:rPr>
          <w:rFonts w:ascii="仿宋" w:hAnsi="仿宋" w:eastAsia="仿宋" w:cs="仿宋"/>
          <w:sz w:val="44"/>
        </w:rPr>
      </w:pPr>
    </w:p>
    <w:p w14:paraId="25C8AEF7">
      <w:pPr>
        <w:jc w:val="left"/>
        <w:rPr>
          <w:rFonts w:hint="eastAsia" w:ascii="仿宋" w:hAnsi="仿宋" w:eastAsia="仿宋" w:cs="仿宋"/>
          <w:sz w:val="44"/>
        </w:rPr>
      </w:pPr>
      <w:r>
        <w:rPr>
          <w:rFonts w:hint="eastAsia" w:ascii="仿宋" w:hAnsi="仿宋" w:eastAsia="仿宋" w:cs="仿宋"/>
          <w:sz w:val="44"/>
        </w:rPr>
        <w:br w:type="page"/>
      </w:r>
    </w:p>
    <w:p w14:paraId="13751D33">
      <w:pPr>
        <w:jc w:val="center"/>
        <w:rPr>
          <w:rFonts w:ascii="仿宋" w:hAnsi="仿宋" w:eastAsia="仿宋" w:cs="仿宋"/>
          <w:sz w:val="44"/>
        </w:rPr>
      </w:pPr>
      <w:r>
        <w:rPr>
          <w:rFonts w:hint="eastAsia" w:ascii="仿宋" w:hAnsi="仿宋" w:eastAsia="仿宋" w:cs="仿宋"/>
          <w:sz w:val="44"/>
        </w:rPr>
        <w:t>设备采购合同</w:t>
      </w:r>
    </w:p>
    <w:p w14:paraId="0B0B612C">
      <w:pPr>
        <w:jc w:val="center"/>
        <w:rPr>
          <w:rFonts w:ascii="仿宋" w:hAnsi="仿宋" w:eastAsia="仿宋" w:cs="仿宋"/>
          <w:sz w:val="44"/>
        </w:rPr>
      </w:pPr>
    </w:p>
    <w:p w14:paraId="46E5E1A4">
      <w:pPr>
        <w:spacing w:line="440" w:lineRule="exact"/>
        <w:ind w:left="1" w:firstLine="560" w:firstLineChars="200"/>
        <w:rPr>
          <w:rFonts w:ascii="仿宋" w:hAnsi="仿宋" w:eastAsia="仿宋" w:cs="仿宋"/>
          <w:sz w:val="28"/>
          <w:u w:val="single"/>
        </w:rPr>
      </w:pPr>
      <w:r>
        <w:rPr>
          <w:rFonts w:hint="eastAsia" w:ascii="仿宋" w:hAnsi="仿宋" w:eastAsia="仿宋" w:cs="仿宋"/>
          <w:sz w:val="28"/>
        </w:rPr>
        <w:t>采购方（甲方）：</w:t>
      </w:r>
      <w:r>
        <w:rPr>
          <w:rFonts w:hint="eastAsia" w:ascii="仿宋" w:hAnsi="仿宋" w:eastAsia="仿宋" w:cs="仿宋"/>
          <w:sz w:val="28"/>
          <w:u w:val="single"/>
        </w:rPr>
        <w:t>四川蜀道新能源科技发展有限公司</w:t>
      </w:r>
    </w:p>
    <w:p w14:paraId="2CA61796">
      <w:pPr>
        <w:ind w:firstLine="560" w:firstLineChars="200"/>
        <w:rPr>
          <w:rFonts w:hint="default" w:ascii="仿宋" w:hAnsi="仿宋" w:eastAsia="仿宋" w:cs="仿宋"/>
          <w:sz w:val="28"/>
          <w:u w:val="single"/>
          <w:lang w:val="en-US" w:eastAsia="zh-CN"/>
        </w:rPr>
      </w:pPr>
      <w:r>
        <w:rPr>
          <w:rFonts w:hint="eastAsia" w:ascii="仿宋" w:hAnsi="仿宋" w:eastAsia="仿宋" w:cs="仿宋"/>
          <w:sz w:val="28"/>
        </w:rPr>
        <w:t>供应方（乙方）：</w:t>
      </w:r>
      <w:r>
        <w:rPr>
          <w:rFonts w:hint="eastAsia" w:ascii="仿宋" w:hAnsi="仿宋" w:eastAsia="仿宋" w:cs="仿宋"/>
          <w:sz w:val="28"/>
          <w:szCs w:val="24"/>
          <w:u w:val="single"/>
          <w:lang w:val="en-US" w:eastAsia="zh-CN"/>
        </w:rPr>
        <w:t xml:space="preserve">            </w:t>
      </w:r>
    </w:p>
    <w:p w14:paraId="533E092B">
      <w:pPr>
        <w:spacing w:line="480" w:lineRule="exact"/>
        <w:ind w:firstLine="560" w:firstLineChars="200"/>
        <w:rPr>
          <w:rFonts w:ascii="仿宋" w:hAnsi="仿宋" w:eastAsia="仿宋" w:cs="仿宋"/>
          <w:sz w:val="28"/>
        </w:rPr>
      </w:pPr>
      <w:r>
        <w:rPr>
          <w:rFonts w:hint="eastAsia" w:ascii="仿宋" w:hAnsi="仿宋" w:eastAsia="仿宋" w:cs="仿宋"/>
          <w:sz w:val="28"/>
        </w:rPr>
        <w:t>甲方因生产经营需要，向乙方采购</w:t>
      </w:r>
      <w:r>
        <w:rPr>
          <w:rFonts w:hint="eastAsia" w:ascii="仿宋" w:hAnsi="仿宋" w:eastAsia="仿宋" w:cs="仿宋"/>
          <w:sz w:val="28"/>
          <w:u w:val="single"/>
        </w:rPr>
        <w:t>充电堆设备</w:t>
      </w:r>
      <w:r>
        <w:rPr>
          <w:rFonts w:hint="eastAsia" w:ascii="仿宋" w:hAnsi="仿宋" w:eastAsia="仿宋" w:cs="仿宋"/>
          <w:sz w:val="28"/>
          <w:u w:val="single"/>
          <w:lang w:val="en-US" w:eastAsia="zh-CN"/>
        </w:rPr>
        <w:t xml:space="preserve"> </w:t>
      </w:r>
      <w:r>
        <w:rPr>
          <w:rFonts w:hint="eastAsia" w:ascii="仿宋" w:hAnsi="仿宋" w:eastAsia="仿宋" w:cs="仿宋"/>
          <w:sz w:val="28"/>
        </w:rPr>
        <w:t>。双方经过平等协商，在真实、充分地表达各自意愿的基础上，根据《中华人民共和国民法典》等相关法律法规之规定，达成如下协议，并由双方共同恪守。</w:t>
      </w:r>
    </w:p>
    <w:p w14:paraId="24BBB54F">
      <w:pPr>
        <w:numPr>
          <w:ilvl w:val="0"/>
          <w:numId w:val="11"/>
        </w:numPr>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甲方采购乙方产品内容及发货地址如下：</w:t>
      </w:r>
    </w:p>
    <w:tbl>
      <w:tblPr>
        <w:tblStyle w:val="26"/>
        <w:tblW w:w="8734" w:type="dxa"/>
        <w:tblInd w:w="96" w:type="dxa"/>
        <w:tblLayout w:type="fixed"/>
        <w:tblCellMar>
          <w:top w:w="0" w:type="dxa"/>
          <w:left w:w="108" w:type="dxa"/>
          <w:bottom w:w="0" w:type="dxa"/>
          <w:right w:w="108" w:type="dxa"/>
        </w:tblCellMar>
      </w:tblPr>
      <w:tblGrid>
        <w:gridCol w:w="997"/>
        <w:gridCol w:w="1936"/>
        <w:gridCol w:w="1624"/>
        <w:gridCol w:w="1301"/>
        <w:gridCol w:w="2876"/>
      </w:tblGrid>
      <w:tr w14:paraId="347D7313">
        <w:tblPrEx>
          <w:tblCellMar>
            <w:top w:w="0" w:type="dxa"/>
            <w:left w:w="108" w:type="dxa"/>
            <w:bottom w:w="0" w:type="dxa"/>
            <w:right w:w="108" w:type="dxa"/>
          </w:tblCellMar>
        </w:tblPrEx>
        <w:trPr>
          <w:trHeight w:val="520"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BA0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序号</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DB1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高速路段</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A3E2">
            <w:pPr>
              <w:widowControl/>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服务区名称</w:t>
            </w:r>
          </w:p>
          <w:p w14:paraId="521109D5">
            <w:pPr>
              <w:widowControl/>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（供货点位）</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3FA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座数</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4D8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充电设备数量及规格</w:t>
            </w:r>
          </w:p>
        </w:tc>
      </w:tr>
      <w:tr w14:paraId="56932AF3">
        <w:tblPrEx>
          <w:tblCellMar>
            <w:top w:w="0" w:type="dxa"/>
            <w:left w:w="108" w:type="dxa"/>
            <w:bottom w:w="0" w:type="dxa"/>
            <w:right w:w="108" w:type="dxa"/>
          </w:tblCellMar>
        </w:tblPrEx>
        <w:trPr>
          <w:trHeight w:val="600"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5C59">
            <w:pPr>
              <w:widowControl/>
              <w:jc w:val="center"/>
              <w:textAlignment w:val="center"/>
              <w:rPr>
                <w:rFonts w:ascii="仿宋" w:hAnsi="仿宋" w:eastAsia="仿宋" w:cs="仿宋"/>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47F6">
            <w:pPr>
              <w:widowControl/>
              <w:jc w:val="center"/>
              <w:textAlignment w:val="center"/>
              <w:rPr>
                <w:rFonts w:ascii="仿宋" w:hAnsi="仿宋" w:eastAsia="仿宋" w:cs="仿宋"/>
                <w:color w:val="000000"/>
                <w:sz w:val="18"/>
                <w:szCs w:val="18"/>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52F7">
            <w:pPr>
              <w:widowControl/>
              <w:jc w:val="center"/>
              <w:textAlignment w:val="center"/>
              <w:rPr>
                <w:rFonts w:ascii="仿宋" w:hAnsi="仿宋" w:eastAsia="仿宋" w:cs="仿宋"/>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2068">
            <w:pPr>
              <w:widowControl/>
              <w:jc w:val="center"/>
              <w:textAlignment w:val="center"/>
              <w:rPr>
                <w:rFonts w:ascii="仿宋" w:hAnsi="仿宋" w:eastAsia="仿宋" w:cs="仿宋"/>
                <w:color w:val="000000"/>
                <w:sz w:val="18"/>
                <w:szCs w:val="18"/>
              </w:rPr>
            </w:pPr>
          </w:p>
        </w:tc>
        <w:tc>
          <w:tcPr>
            <w:tcW w:w="2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E840">
            <w:pPr>
              <w:widowControl/>
              <w:jc w:val="left"/>
              <w:textAlignment w:val="center"/>
              <w:rPr>
                <w:rFonts w:ascii="仿宋" w:hAnsi="仿宋" w:eastAsia="仿宋" w:cs="仿宋"/>
                <w:color w:val="000000"/>
                <w:sz w:val="18"/>
                <w:szCs w:val="18"/>
              </w:rPr>
            </w:pPr>
          </w:p>
        </w:tc>
      </w:tr>
    </w:tbl>
    <w:p w14:paraId="26E590D5">
      <w:pPr>
        <w:spacing w:line="480" w:lineRule="exact"/>
        <w:ind w:firstLine="560" w:firstLineChars="200"/>
        <w:rPr>
          <w:rFonts w:ascii="仿宋" w:hAnsi="仿宋" w:eastAsia="仿宋" w:cs="仿宋"/>
          <w:sz w:val="28"/>
        </w:rPr>
      </w:pPr>
      <w:r>
        <w:rPr>
          <w:rFonts w:hint="eastAsia" w:ascii="仿宋" w:hAnsi="仿宋" w:eastAsia="仿宋" w:cs="仿宋"/>
          <w:sz w:val="28"/>
        </w:rPr>
        <w:t>1.甲方向乙方购买上述</w:t>
      </w:r>
      <w:r>
        <w:rPr>
          <w:rFonts w:hint="eastAsia" w:ascii="仿宋" w:hAnsi="仿宋" w:eastAsia="仿宋" w:cs="仿宋"/>
          <w:sz w:val="28"/>
          <w:u w:val="single"/>
          <w:lang w:val="en-US" w:eastAsia="zh-CN"/>
        </w:rPr>
        <w:t xml:space="preserve"> 2</w:t>
      </w:r>
      <w:r>
        <w:rPr>
          <w:rFonts w:hint="eastAsia" w:ascii="仿宋" w:hAnsi="仿宋" w:eastAsia="仿宋" w:cs="仿宋"/>
          <w:sz w:val="28"/>
          <w:u w:val="none"/>
          <w:lang w:val="en-US" w:eastAsia="zh-CN"/>
        </w:rPr>
        <w:t>套</w:t>
      </w:r>
      <w:r>
        <w:rPr>
          <w:rFonts w:hint="eastAsia" w:ascii="仿宋" w:hAnsi="仿宋" w:eastAsia="仿宋" w:cs="仿宋"/>
          <w:sz w:val="28"/>
        </w:rPr>
        <w:t>480KW分体式直流充电堆设备，每</w:t>
      </w:r>
      <w:r>
        <w:rPr>
          <w:rFonts w:hint="eastAsia" w:ascii="仿宋" w:hAnsi="仿宋" w:eastAsia="仿宋" w:cs="仿宋"/>
          <w:sz w:val="28"/>
          <w:lang w:val="en-US" w:eastAsia="zh-CN"/>
        </w:rPr>
        <w:t>套</w:t>
      </w:r>
      <w:r>
        <w:rPr>
          <w:rFonts w:hint="eastAsia" w:ascii="仿宋" w:hAnsi="仿宋" w:eastAsia="仿宋" w:cs="仿宋"/>
          <w:sz w:val="28"/>
        </w:rPr>
        <w:t>充电堆包含4台普通充电桩（单桩双枪），此合同充电堆设备由乙方负责包装，包装规格为其专用木箱或纸箱密封包装，保证符合国家（国际）安全、环保要求。</w:t>
      </w:r>
    </w:p>
    <w:p w14:paraId="4D9B2C0D">
      <w:pPr>
        <w:spacing w:line="480" w:lineRule="exact"/>
        <w:ind w:firstLine="560" w:firstLineChars="200"/>
        <w:rPr>
          <w:rFonts w:ascii="仿宋" w:hAnsi="仿宋" w:eastAsia="仿宋" w:cs="仿宋"/>
          <w:sz w:val="28"/>
        </w:rPr>
      </w:pPr>
      <w:r>
        <w:rPr>
          <w:rFonts w:hint="eastAsia" w:ascii="仿宋" w:hAnsi="仿宋" w:eastAsia="仿宋" w:cs="仿宋"/>
          <w:sz w:val="28"/>
        </w:rPr>
        <w:t>2.乙方向甲方交付合同约定的充电堆设备，同时提供产品说明书、包装清单、产品检验合格书、保修证书等相关资料。</w:t>
      </w:r>
    </w:p>
    <w:p w14:paraId="5576420A">
      <w:pPr>
        <w:spacing w:line="480" w:lineRule="exact"/>
        <w:ind w:firstLine="560" w:firstLineChars="200"/>
        <w:rPr>
          <w:rFonts w:ascii="仿宋" w:hAnsi="仿宋" w:eastAsia="仿宋" w:cs="仿宋"/>
          <w:sz w:val="28"/>
        </w:rPr>
      </w:pPr>
      <w:r>
        <w:rPr>
          <w:rFonts w:hint="eastAsia" w:ascii="仿宋" w:hAnsi="仿宋" w:eastAsia="仿宋" w:cs="仿宋"/>
          <w:sz w:val="28"/>
        </w:rPr>
        <w:t>3.完成期限：在接收到甲方发货通知后5个日历天内交货，安装完成后7个日历天内完成调试、计量检定，取得检定合格证书，并保证实现全部功能和实际使用。</w:t>
      </w:r>
    </w:p>
    <w:p w14:paraId="0566EE46">
      <w:pPr>
        <w:spacing w:line="480" w:lineRule="exact"/>
        <w:ind w:firstLine="560" w:firstLineChars="200"/>
        <w:rPr>
          <w:rFonts w:ascii="仿宋" w:hAnsi="仿宋" w:eastAsia="仿宋" w:cs="仿宋"/>
          <w:sz w:val="28"/>
        </w:rPr>
      </w:pPr>
      <w:r>
        <w:rPr>
          <w:rFonts w:hint="eastAsia" w:ascii="仿宋" w:hAnsi="仿宋" w:eastAsia="仿宋" w:cs="仿宋"/>
          <w:sz w:val="28"/>
        </w:rPr>
        <w:t>4.乙方负责充电堆设备(包含配件)的运输及现场卸车、安装以及到达</w:t>
      </w:r>
    </w:p>
    <w:p w14:paraId="13746D2E">
      <w:pPr>
        <w:spacing w:line="480" w:lineRule="exact"/>
        <w:rPr>
          <w:rFonts w:ascii="仿宋" w:hAnsi="仿宋" w:eastAsia="仿宋" w:cs="仿宋"/>
          <w:sz w:val="28"/>
        </w:rPr>
      </w:pPr>
      <w:r>
        <w:rPr>
          <w:rFonts w:hint="eastAsia" w:ascii="仿宋" w:hAnsi="仿宋" w:eastAsia="仿宋" w:cs="仿宋"/>
          <w:sz w:val="28"/>
        </w:rPr>
        <w:t>现场后的临时保管。</w:t>
      </w:r>
    </w:p>
    <w:p w14:paraId="3766FA4E">
      <w:pPr>
        <w:autoSpaceDE/>
        <w:autoSpaceDN/>
        <w:spacing w:line="480" w:lineRule="exact"/>
        <w:ind w:firstLine="560" w:firstLineChars="200"/>
        <w:rPr>
          <w:rFonts w:hint="eastAsia" w:ascii="仿宋" w:hAnsi="仿宋" w:eastAsia="仿宋" w:cs="仿宋"/>
          <w:sz w:val="28"/>
          <w:szCs w:val="24"/>
        </w:rPr>
      </w:pPr>
      <w:r>
        <w:rPr>
          <w:rFonts w:hint="eastAsia" w:ascii="仿宋" w:hAnsi="仿宋" w:eastAsia="仿宋" w:cs="仿宋"/>
          <w:sz w:val="28"/>
        </w:rPr>
        <w:t>5.</w:t>
      </w:r>
      <w:r>
        <w:rPr>
          <w:rFonts w:hint="eastAsia" w:ascii="仿宋" w:hAnsi="仿宋" w:eastAsia="仿宋" w:cs="仿宋"/>
          <w:sz w:val="28"/>
          <w:lang w:val="en-US" w:eastAsia="zh-CN"/>
        </w:rPr>
        <w:t>乙方供应的</w:t>
      </w:r>
      <w:r>
        <w:rPr>
          <w:rFonts w:hint="eastAsia" w:ascii="仿宋" w:hAnsi="仿宋" w:eastAsia="仿宋" w:cs="仿宋"/>
          <w:sz w:val="28"/>
          <w:szCs w:val="24"/>
        </w:rPr>
        <w:t>充电桩通信模块支持移动、联通、电信三大运营商网络，设备可根据环境信号强弱智能选择最优运营商网络，确保网络信号稳定性；</w:t>
      </w:r>
    </w:p>
    <w:p w14:paraId="50ADBC89">
      <w:pPr>
        <w:autoSpaceDE/>
        <w:autoSpaceDN/>
        <w:spacing w:line="480" w:lineRule="exact"/>
        <w:ind w:firstLine="560" w:firstLineChars="200"/>
        <w:rPr>
          <w:rFonts w:hint="eastAsia" w:ascii="仿宋" w:hAnsi="仿宋" w:eastAsia="仿宋" w:cs="仿宋"/>
          <w:sz w:val="28"/>
          <w:szCs w:val="24"/>
        </w:rPr>
      </w:pPr>
      <w:r>
        <w:rPr>
          <w:rFonts w:hint="eastAsia" w:ascii="仿宋" w:hAnsi="仿宋" w:eastAsia="仿宋" w:cs="仿宋"/>
          <w:sz w:val="28"/>
          <w:szCs w:val="24"/>
          <w:lang w:eastAsia="zh-CN"/>
        </w:rPr>
        <w:t>6</w:t>
      </w:r>
      <w:r>
        <w:rPr>
          <w:rFonts w:hint="eastAsia" w:ascii="仿宋" w:hAnsi="仿宋" w:eastAsia="仿宋" w:cs="仿宋"/>
          <w:sz w:val="28"/>
          <w:szCs w:val="24"/>
          <w:lang w:val="en-US" w:eastAsia="zh-CN"/>
        </w:rPr>
        <w:t>.乙方供应的</w:t>
      </w:r>
      <w:r>
        <w:rPr>
          <w:rFonts w:hint="eastAsia" w:ascii="仿宋" w:hAnsi="仿宋" w:eastAsia="仿宋" w:cs="仿宋"/>
          <w:sz w:val="28"/>
          <w:szCs w:val="24"/>
        </w:rPr>
        <w:t>充电桩支持多种联网方式（4G、以太网等），可通过智能备份机制确保网络不间断，当有线网络断开时，设备可自动切换到4G，有线网络恢复时，设备可自动切换到有限网络连接。</w:t>
      </w:r>
    </w:p>
    <w:p w14:paraId="13923C8E">
      <w:pPr>
        <w:spacing w:line="480" w:lineRule="exact"/>
        <w:ind w:firstLine="560" w:firstLineChars="200"/>
        <w:rPr>
          <w:rFonts w:hint="eastAsia" w:ascii="仿宋" w:hAnsi="仿宋" w:eastAsia="仿宋" w:cs="仿宋"/>
          <w:sz w:val="28"/>
        </w:rPr>
      </w:pPr>
      <w:r>
        <w:rPr>
          <w:rFonts w:hint="eastAsia" w:ascii="仿宋" w:hAnsi="仿宋" w:eastAsia="仿宋" w:cs="仿宋"/>
          <w:sz w:val="28"/>
          <w:lang w:val="en-US" w:eastAsia="zh-CN"/>
        </w:rPr>
        <w:t>7.</w:t>
      </w:r>
      <w:r>
        <w:rPr>
          <w:rFonts w:hint="eastAsia" w:ascii="仿宋" w:hAnsi="仿宋" w:eastAsia="仿宋" w:cs="仿宋"/>
          <w:sz w:val="28"/>
        </w:rPr>
        <w:t>乙方按甲方要求将充电堆设备接入甲方指定的运营监控管理平台。</w:t>
      </w:r>
    </w:p>
    <w:p w14:paraId="0BBDB96B">
      <w:pPr>
        <w:spacing w:line="480" w:lineRule="exact"/>
        <w:ind w:firstLine="560" w:firstLineChars="200"/>
        <w:rPr>
          <w:rFonts w:hint="eastAsia" w:ascii="仿宋" w:hAnsi="仿宋" w:eastAsia="仿宋" w:cs="仿宋"/>
          <w:sz w:val="28"/>
        </w:rPr>
      </w:pPr>
      <w:r>
        <w:rPr>
          <w:rFonts w:hint="eastAsia" w:ascii="仿宋" w:hAnsi="仿宋" w:eastAsia="仿宋" w:cs="仿宋"/>
          <w:sz w:val="28"/>
          <w:lang w:val="en-US" w:eastAsia="zh-CN"/>
        </w:rPr>
        <w:t>8</w:t>
      </w:r>
      <w:r>
        <w:rPr>
          <w:rFonts w:hint="eastAsia" w:ascii="仿宋" w:hAnsi="仿宋" w:eastAsia="仿宋" w:cs="仿宋"/>
          <w:sz w:val="28"/>
        </w:rPr>
        <w:t>.提供5年及以上的质保（包括但不限于桩体、模块、易损件如枪头、枪线、显示屏等）及免费上门维护服务。</w:t>
      </w:r>
    </w:p>
    <w:p w14:paraId="6E69A53A">
      <w:pPr>
        <w:spacing w:line="480" w:lineRule="exact"/>
        <w:ind w:firstLine="560" w:firstLineChars="200"/>
        <w:rPr>
          <w:rFonts w:ascii="仿宋" w:hAnsi="仿宋" w:eastAsia="仿宋" w:cs="仿宋"/>
        </w:rPr>
      </w:pPr>
      <w:r>
        <w:rPr>
          <w:rFonts w:hint="eastAsia" w:ascii="仿宋" w:hAnsi="仿宋" w:eastAsia="仿宋" w:cs="仿宋"/>
          <w:sz w:val="28"/>
          <w:lang w:val="en-US" w:eastAsia="zh-CN"/>
        </w:rPr>
        <w:t>9</w:t>
      </w:r>
      <w:r>
        <w:rPr>
          <w:rFonts w:hint="eastAsia" w:ascii="仿宋" w:hAnsi="仿宋" w:eastAsia="仿宋" w:cs="仿宋"/>
          <w:sz w:val="28"/>
        </w:rPr>
        <w:t>.充电堆设备按照国家相关法律法规完成2次充电设备计量检定，并取得检定合格证书，第1次检定时间为充电站投运前，第2次检定时间为第1次检定合格证书有效期届满前30天内。</w:t>
      </w:r>
    </w:p>
    <w:p w14:paraId="087973A2">
      <w:pPr>
        <w:pStyle w:val="2"/>
        <w:spacing w:after="0" w:line="480" w:lineRule="exact"/>
        <w:ind w:left="0" w:leftChars="0" w:firstLine="560" w:firstLineChars="0"/>
        <w:rPr>
          <w:rFonts w:ascii="仿宋" w:hAnsi="仿宋" w:eastAsia="仿宋" w:cs="仿宋"/>
          <w:b/>
          <w:szCs w:val="28"/>
        </w:rPr>
      </w:pPr>
      <w:r>
        <w:rPr>
          <w:rFonts w:hint="eastAsia" w:ascii="仿宋" w:hAnsi="仿宋" w:eastAsia="仿宋" w:cs="仿宋"/>
          <w:b/>
          <w:szCs w:val="28"/>
        </w:rPr>
        <w:t>二、货款支付</w:t>
      </w:r>
    </w:p>
    <w:tbl>
      <w:tblPr>
        <w:tblStyle w:val="26"/>
        <w:tblW w:w="9188"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963"/>
        <w:gridCol w:w="950"/>
        <w:gridCol w:w="749"/>
        <w:gridCol w:w="1320"/>
        <w:gridCol w:w="1319"/>
        <w:gridCol w:w="1611"/>
      </w:tblGrid>
      <w:tr w14:paraId="132FD28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E9098B9">
            <w:pPr>
              <w:spacing w:line="480" w:lineRule="exact"/>
              <w:jc w:val="center"/>
              <w:rPr>
                <w:rFonts w:ascii="仿宋" w:hAnsi="仿宋" w:eastAsia="仿宋" w:cs="仿宋"/>
                <w:sz w:val="24"/>
              </w:rPr>
            </w:pPr>
            <w:r>
              <w:rPr>
                <w:rFonts w:hint="eastAsia" w:ascii="仿宋" w:hAnsi="仿宋" w:eastAsia="仿宋" w:cs="仿宋"/>
                <w:sz w:val="24"/>
              </w:rPr>
              <w:t>型号</w:t>
            </w:r>
          </w:p>
        </w:tc>
        <w:tc>
          <w:tcPr>
            <w:tcW w:w="1963" w:type="dxa"/>
            <w:tcBorders>
              <w:top w:val="single" w:color="auto" w:sz="4" w:space="0"/>
              <w:left w:val="single" w:color="auto" w:sz="4" w:space="0"/>
              <w:bottom w:val="single" w:color="auto" w:sz="4" w:space="0"/>
              <w:right w:val="single" w:color="auto" w:sz="4" w:space="0"/>
            </w:tcBorders>
            <w:shd w:val="clear" w:color="auto" w:fill="auto"/>
            <w:vAlign w:val="center"/>
          </w:tcPr>
          <w:p w14:paraId="06B73323">
            <w:pPr>
              <w:spacing w:line="480" w:lineRule="exact"/>
              <w:jc w:val="center"/>
              <w:rPr>
                <w:rFonts w:ascii="仿宋" w:hAnsi="仿宋" w:eastAsia="仿宋" w:cs="仿宋"/>
                <w:sz w:val="24"/>
              </w:rPr>
            </w:pPr>
            <w:r>
              <w:rPr>
                <w:rFonts w:hint="eastAsia" w:ascii="仿宋" w:hAnsi="仿宋" w:eastAsia="仿宋" w:cs="仿宋"/>
                <w:sz w:val="24"/>
              </w:rPr>
              <w:t>品名</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00947E20">
            <w:pPr>
              <w:spacing w:line="480" w:lineRule="exact"/>
              <w:jc w:val="center"/>
              <w:rPr>
                <w:rFonts w:ascii="仿宋" w:hAnsi="仿宋" w:eastAsia="仿宋" w:cs="仿宋"/>
                <w:sz w:val="24"/>
              </w:rPr>
            </w:pPr>
            <w:r>
              <w:rPr>
                <w:rFonts w:hint="eastAsia" w:ascii="仿宋" w:hAnsi="仿宋" w:eastAsia="仿宋" w:cs="仿宋"/>
                <w:sz w:val="24"/>
              </w:rPr>
              <w:t>数量（</w:t>
            </w:r>
            <w:r>
              <w:rPr>
                <w:rFonts w:hint="eastAsia" w:ascii="仿宋" w:hAnsi="仿宋" w:eastAsia="仿宋" w:cs="仿宋"/>
                <w:sz w:val="24"/>
                <w:lang w:val="en-US" w:eastAsia="zh-CN"/>
              </w:rPr>
              <w:t>套</w:t>
            </w:r>
            <w:r>
              <w:rPr>
                <w:rFonts w:hint="eastAsia" w:ascii="仿宋" w:hAnsi="仿宋" w:eastAsia="仿宋" w:cs="仿宋"/>
                <w:sz w:val="24"/>
              </w:rPr>
              <w:t>）</w:t>
            </w: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69E2E867">
            <w:pPr>
              <w:spacing w:line="480" w:lineRule="exact"/>
              <w:jc w:val="center"/>
              <w:rPr>
                <w:rFonts w:ascii="仿宋" w:hAnsi="仿宋" w:eastAsia="仿宋" w:cs="仿宋"/>
                <w:sz w:val="24"/>
              </w:rPr>
            </w:pPr>
            <w:r>
              <w:rPr>
                <w:rFonts w:hint="eastAsia" w:ascii="仿宋" w:hAnsi="仿宋" w:eastAsia="仿宋" w:cs="仿宋"/>
                <w:sz w:val="24"/>
              </w:rPr>
              <w:t>税率</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7E122429">
            <w:pPr>
              <w:spacing w:line="480" w:lineRule="exact"/>
              <w:jc w:val="center"/>
              <w:rPr>
                <w:rFonts w:ascii="仿宋" w:hAnsi="仿宋" w:eastAsia="仿宋" w:cs="仿宋"/>
                <w:sz w:val="24"/>
              </w:rPr>
            </w:pPr>
            <w:r>
              <w:rPr>
                <w:rFonts w:hint="eastAsia" w:ascii="仿宋" w:hAnsi="仿宋" w:eastAsia="仿宋" w:cs="仿宋"/>
                <w:sz w:val="24"/>
              </w:rPr>
              <w:t>含税单价（元）</w:t>
            </w:r>
          </w:p>
        </w:tc>
        <w:tc>
          <w:tcPr>
            <w:tcW w:w="1319" w:type="dxa"/>
            <w:tcBorders>
              <w:top w:val="single" w:color="auto" w:sz="4" w:space="0"/>
              <w:left w:val="single" w:color="auto" w:sz="4" w:space="0"/>
              <w:bottom w:val="single" w:color="auto" w:sz="4" w:space="0"/>
              <w:right w:val="single" w:color="auto" w:sz="4" w:space="0"/>
            </w:tcBorders>
            <w:shd w:val="clear" w:color="auto" w:fill="auto"/>
            <w:vAlign w:val="center"/>
          </w:tcPr>
          <w:p w14:paraId="14E30D1C">
            <w:pPr>
              <w:spacing w:line="480" w:lineRule="exact"/>
              <w:jc w:val="center"/>
              <w:rPr>
                <w:rFonts w:ascii="仿宋" w:hAnsi="仿宋" w:eastAsia="仿宋" w:cs="仿宋"/>
                <w:sz w:val="24"/>
              </w:rPr>
            </w:pPr>
            <w:r>
              <w:rPr>
                <w:rFonts w:hint="eastAsia" w:ascii="仿宋" w:hAnsi="仿宋" w:eastAsia="仿宋" w:cs="仿宋"/>
                <w:sz w:val="24"/>
              </w:rPr>
              <w:t>含税总价（元）</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14:paraId="2CD33963">
            <w:pPr>
              <w:spacing w:line="480" w:lineRule="exact"/>
              <w:jc w:val="center"/>
              <w:rPr>
                <w:rFonts w:ascii="仿宋" w:hAnsi="仿宋" w:eastAsia="仿宋" w:cs="仿宋"/>
                <w:sz w:val="24"/>
              </w:rPr>
            </w:pPr>
            <w:r>
              <w:rPr>
                <w:rFonts w:hint="eastAsia" w:ascii="仿宋" w:hAnsi="仿宋" w:eastAsia="仿宋" w:cs="仿宋"/>
                <w:sz w:val="24"/>
              </w:rPr>
              <w:t>备注</w:t>
            </w:r>
          </w:p>
        </w:tc>
      </w:tr>
      <w:tr w14:paraId="3ABBBFD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3DCE101">
            <w:pPr>
              <w:spacing w:line="480" w:lineRule="exact"/>
              <w:jc w:val="center"/>
              <w:rPr>
                <w:rFonts w:ascii="仿宋" w:hAnsi="仿宋" w:eastAsia="仿宋" w:cs="仿宋"/>
                <w:sz w:val="24"/>
              </w:rPr>
            </w:pPr>
          </w:p>
        </w:tc>
        <w:tc>
          <w:tcPr>
            <w:tcW w:w="1963" w:type="dxa"/>
            <w:tcBorders>
              <w:top w:val="single" w:color="auto" w:sz="4" w:space="0"/>
              <w:left w:val="single" w:color="auto" w:sz="4" w:space="0"/>
              <w:bottom w:val="single" w:color="auto" w:sz="4" w:space="0"/>
              <w:right w:val="single" w:color="auto" w:sz="4" w:space="0"/>
            </w:tcBorders>
            <w:shd w:val="clear" w:color="auto" w:fill="auto"/>
            <w:vAlign w:val="center"/>
          </w:tcPr>
          <w:p w14:paraId="65D2473F">
            <w:pPr>
              <w:spacing w:line="480" w:lineRule="exact"/>
              <w:jc w:val="center"/>
              <w:rPr>
                <w:rFonts w:ascii="仿宋" w:hAnsi="仿宋" w:eastAsia="仿宋" w:cs="仿宋"/>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384275AA">
            <w:pPr>
              <w:spacing w:line="480" w:lineRule="exact"/>
              <w:jc w:val="center"/>
              <w:rPr>
                <w:rFonts w:ascii="仿宋" w:hAnsi="仿宋" w:eastAsia="仿宋" w:cs="仿宋"/>
                <w:sz w:val="24"/>
              </w:rPr>
            </w:pP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42847100">
            <w:pPr>
              <w:spacing w:line="480" w:lineRule="exact"/>
              <w:jc w:val="center"/>
              <w:rPr>
                <w:rFonts w:ascii="仿宋" w:hAnsi="仿宋" w:eastAsia="仿宋" w:cs="仿宋"/>
                <w:sz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37F38079">
            <w:pPr>
              <w:spacing w:line="480" w:lineRule="exact"/>
              <w:jc w:val="center"/>
              <w:rPr>
                <w:rFonts w:ascii="仿宋" w:hAnsi="仿宋" w:eastAsia="仿宋" w:cs="仿宋"/>
                <w:sz w:val="24"/>
              </w:rPr>
            </w:pPr>
          </w:p>
        </w:tc>
        <w:tc>
          <w:tcPr>
            <w:tcW w:w="1319" w:type="dxa"/>
            <w:tcBorders>
              <w:top w:val="single" w:color="auto" w:sz="4" w:space="0"/>
              <w:left w:val="single" w:color="auto" w:sz="4" w:space="0"/>
              <w:bottom w:val="single" w:color="auto" w:sz="4" w:space="0"/>
              <w:right w:val="single" w:color="auto" w:sz="4" w:space="0"/>
            </w:tcBorders>
            <w:shd w:val="clear" w:color="auto" w:fill="auto"/>
            <w:vAlign w:val="center"/>
          </w:tcPr>
          <w:p w14:paraId="61E317CE">
            <w:pPr>
              <w:spacing w:line="480" w:lineRule="exact"/>
              <w:jc w:val="center"/>
              <w:rPr>
                <w:rFonts w:ascii="仿宋" w:hAnsi="仿宋" w:eastAsia="仿宋" w:cs="仿宋"/>
                <w:sz w:val="24"/>
              </w:rPr>
            </w:pP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14:paraId="57FAF06E">
            <w:pPr>
              <w:pStyle w:val="64"/>
              <w:spacing w:before="68" w:line="270" w:lineRule="auto"/>
              <w:ind w:right="48"/>
              <w:jc w:val="left"/>
              <w:rPr>
                <w:rFonts w:ascii="仿宋" w:hAnsi="仿宋" w:eastAsia="仿宋" w:cs="仿宋"/>
                <w:sz w:val="24"/>
                <w:szCs w:val="24"/>
                <w:lang w:eastAsia="zh-CN"/>
              </w:rPr>
            </w:pPr>
          </w:p>
        </w:tc>
      </w:tr>
    </w:tbl>
    <w:p w14:paraId="705FDF49">
      <w:pPr>
        <w:rPr>
          <w:rFonts w:ascii="仿宋" w:hAnsi="仿宋" w:eastAsia="仿宋" w:cs="仿宋"/>
        </w:rPr>
      </w:pPr>
    </w:p>
    <w:p w14:paraId="17C5CE9A">
      <w:pPr>
        <w:pStyle w:val="44"/>
        <w:rPr>
          <w:rFonts w:hint="default"/>
          <w:bCs/>
          <w:sz w:val="24"/>
          <w:lang w:val="en-US" w:bidi="en-US"/>
        </w:rPr>
      </w:pPr>
      <w:r>
        <w:rPr>
          <w:rFonts w:hint="eastAsia" w:ascii="仿宋" w:hAnsi="仿宋" w:eastAsia="仿宋" w:cs="仿宋"/>
          <w:sz w:val="28"/>
        </w:rPr>
        <w:t>1.暂定货款总额为含税人民币：</w:t>
      </w:r>
      <w:r>
        <w:rPr>
          <w:rFonts w:hint="eastAsia" w:ascii="仿宋" w:hAnsi="仿宋" w:eastAsia="仿宋" w:cs="仿宋"/>
          <w:sz w:val="28"/>
          <w:u w:val="single"/>
        </w:rPr>
        <w:t>¥</w:t>
      </w:r>
      <w:r>
        <w:rPr>
          <w:rFonts w:hint="eastAsia" w:ascii="仿宋" w:hAnsi="仿宋" w:eastAsia="仿宋" w:cs="仿宋"/>
          <w:sz w:val="28"/>
          <w:u w:val="single"/>
          <w:lang w:val="en-US" w:eastAsia="zh-CN"/>
        </w:rPr>
        <w:t xml:space="preserve"> </w:t>
      </w:r>
      <w:r>
        <w:rPr>
          <w:rFonts w:hint="eastAsia" w:ascii="仿宋" w:hAnsi="仿宋" w:eastAsia="仿宋" w:cs="仿宋"/>
          <w:sz w:val="28"/>
          <w:u w:val="single"/>
        </w:rPr>
        <w:t xml:space="preserve"> </w:t>
      </w:r>
      <w:r>
        <w:rPr>
          <w:rFonts w:hint="eastAsia" w:ascii="仿宋" w:hAnsi="仿宋" w:eastAsia="仿宋" w:cs="仿宋"/>
          <w:sz w:val="28"/>
        </w:rPr>
        <w:t>大写：</w:t>
      </w:r>
      <w:r>
        <w:rPr>
          <w:rFonts w:hint="eastAsia" w:ascii="仿宋" w:hAnsi="仿宋" w:eastAsia="仿宋" w:cs="仿宋"/>
          <w:sz w:val="28"/>
          <w:u w:val="single"/>
        </w:rPr>
        <w:t xml:space="preserve">  </w:t>
      </w:r>
      <w:r>
        <w:rPr>
          <w:rFonts w:hint="eastAsia" w:ascii="仿宋" w:hAnsi="仿宋" w:eastAsia="仿宋" w:cs="仿宋"/>
          <w:sz w:val="28"/>
        </w:rPr>
        <w:t>），其中税额为¥</w:t>
      </w:r>
      <w:r>
        <w:rPr>
          <w:rFonts w:hint="eastAsia" w:ascii="仿宋" w:hAnsi="仿宋" w:eastAsia="仿宋" w:cs="仿宋"/>
          <w:sz w:val="28"/>
          <w:u w:val="single"/>
        </w:rPr>
        <w:t xml:space="preserve">  </w:t>
      </w:r>
      <w:r>
        <w:rPr>
          <w:rFonts w:hint="eastAsia" w:ascii="仿宋" w:hAnsi="仿宋" w:eastAsia="仿宋" w:cs="仿宋"/>
          <w:sz w:val="28"/>
        </w:rPr>
        <w:t>元，增值税专用发票税率为</w:t>
      </w:r>
      <w:r>
        <w:rPr>
          <w:rFonts w:hint="eastAsia" w:ascii="仿宋" w:hAnsi="仿宋" w:eastAsia="仿宋" w:cs="仿宋"/>
          <w:sz w:val="28"/>
          <w:u w:val="single"/>
        </w:rPr>
        <w:t xml:space="preserve"> </w:t>
      </w:r>
      <w:r>
        <w:rPr>
          <w:rFonts w:hint="eastAsia" w:ascii="仿宋" w:hAnsi="仿宋" w:eastAsia="仿宋" w:cs="仿宋"/>
          <w:sz w:val="28"/>
          <w:u w:val="single"/>
          <w:lang w:val="en-US" w:eastAsia="zh-CN"/>
        </w:rPr>
        <w:t xml:space="preserve"> </w:t>
      </w:r>
      <w:r>
        <w:rPr>
          <w:rFonts w:hint="eastAsia" w:ascii="仿宋" w:hAnsi="仿宋" w:eastAsia="仿宋" w:cs="仿宋"/>
          <w:sz w:val="28"/>
          <w:u w:val="single"/>
        </w:rPr>
        <w:t xml:space="preserve"> %</w:t>
      </w:r>
      <w:r>
        <w:rPr>
          <w:rFonts w:hint="eastAsia" w:ascii="仿宋" w:hAnsi="仿宋" w:eastAsia="仿宋" w:cs="仿宋"/>
          <w:sz w:val="28"/>
        </w:rPr>
        <w:t>。该金额包括但不限于本合同所有充电堆设备(含全部配件、备品备件、材料、专用工具</w:t>
      </w:r>
      <w:r>
        <w:rPr>
          <w:rFonts w:hint="eastAsia" w:ascii="仿宋" w:hAnsi="仿宋" w:eastAsia="仿宋" w:cs="仿宋"/>
          <w:sz w:val="28"/>
          <w:lang w:bidi="ar"/>
        </w:rPr>
        <w:t>)的</w:t>
      </w:r>
      <w:r>
        <w:rPr>
          <w:rFonts w:hint="eastAsia" w:ascii="仿宋" w:hAnsi="仿宋" w:eastAsia="仿宋" w:cs="仿宋"/>
          <w:sz w:val="28"/>
        </w:rPr>
        <w:t>设计费、设备费、</w:t>
      </w:r>
      <w:r>
        <w:rPr>
          <w:rFonts w:hint="eastAsia" w:ascii="仿宋" w:hAnsi="仿宋" w:eastAsia="仿宋" w:cs="仿宋"/>
          <w:sz w:val="28"/>
          <w:lang w:bidi="ar"/>
        </w:rPr>
        <w:t>仓储费、</w:t>
      </w:r>
      <w:r>
        <w:rPr>
          <w:rFonts w:hint="eastAsia" w:ascii="仿宋" w:hAnsi="仿宋" w:eastAsia="仿宋" w:cs="仿宋"/>
          <w:sz w:val="28"/>
        </w:rPr>
        <w:t>运输费、</w:t>
      </w:r>
      <w:r>
        <w:rPr>
          <w:rFonts w:hint="eastAsia" w:ascii="仿宋" w:hAnsi="仿宋" w:eastAsia="仿宋" w:cs="仿宋"/>
          <w:sz w:val="28"/>
          <w:lang w:bidi="ar"/>
        </w:rPr>
        <w:t>包装费、运杂费、</w:t>
      </w:r>
      <w:r>
        <w:rPr>
          <w:rFonts w:hint="eastAsia" w:ascii="仿宋" w:hAnsi="仿宋" w:eastAsia="仿宋" w:cs="仿宋"/>
          <w:sz w:val="28"/>
        </w:rPr>
        <w:t>吊装费、卸车费、</w:t>
      </w:r>
      <w:r>
        <w:rPr>
          <w:rFonts w:hint="eastAsia" w:ascii="仿宋" w:hAnsi="仿宋" w:eastAsia="仿宋" w:cs="仿宋"/>
          <w:sz w:val="28"/>
          <w:lang w:bidi="ar"/>
        </w:rPr>
        <w:t>临时</w:t>
      </w:r>
      <w:r>
        <w:rPr>
          <w:rFonts w:hint="eastAsia" w:ascii="仿宋" w:hAnsi="仿宋" w:eastAsia="仿宋" w:cs="仿宋"/>
          <w:sz w:val="28"/>
        </w:rPr>
        <w:t>保管费、人工费、保险费、调试费、税费、管理费、</w:t>
      </w:r>
      <w:r>
        <w:rPr>
          <w:rFonts w:hint="eastAsia" w:ascii="仿宋" w:hAnsi="仿宋" w:eastAsia="仿宋" w:cs="仿宋"/>
          <w:sz w:val="28"/>
          <w:lang w:bidi="ar"/>
        </w:rPr>
        <w:t>技术服务费、技术资料费、</w:t>
      </w:r>
      <w:r>
        <w:rPr>
          <w:rFonts w:hint="eastAsia" w:ascii="仿宋" w:hAnsi="仿宋" w:eastAsia="仿宋" w:cs="仿宋"/>
          <w:sz w:val="28"/>
        </w:rPr>
        <w:t>检测费、计量检定、</w:t>
      </w:r>
      <w:r>
        <w:rPr>
          <w:rFonts w:hint="eastAsia" w:ascii="仿宋" w:hAnsi="仿宋" w:eastAsia="仿宋" w:cs="仿宋"/>
          <w:sz w:val="28"/>
          <w:lang w:bidi="ar"/>
        </w:rPr>
        <w:t>质保及免费上门维护费等与供应商应承担的所有义务和所有工作的一切费用。</w:t>
      </w:r>
      <w:r>
        <w:rPr>
          <w:rFonts w:hint="eastAsia" w:ascii="仿宋" w:hAnsi="仿宋" w:eastAsia="仿宋" w:cs="仿宋"/>
          <w:bCs w:val="0"/>
          <w:spacing w:val="0"/>
          <w:sz w:val="28"/>
          <w:szCs w:val="21"/>
          <w:lang w:val="en-US" w:eastAsia="zh-CN" w:bidi="en-US"/>
        </w:rPr>
        <w:t>以上设备须接入甲方运营、监控管理平台</w:t>
      </w:r>
      <w:r>
        <w:rPr>
          <w:rFonts w:hint="eastAsia" w:ascii="仿宋" w:hAnsi="仿宋" w:eastAsia="仿宋" w:cs="仿宋"/>
          <w:bCs w:val="0"/>
          <w:sz w:val="28"/>
          <w:lang w:bidi="en-US"/>
        </w:rPr>
        <w:t>，</w:t>
      </w:r>
      <w:r>
        <w:rPr>
          <w:rFonts w:hint="eastAsia" w:ascii="仿宋" w:hAnsi="仿宋" w:eastAsia="仿宋" w:cs="仿宋"/>
          <w:bCs w:val="0"/>
          <w:sz w:val="28"/>
          <w:lang w:val="en-US" w:eastAsia="zh-CN" w:bidi="en-US"/>
        </w:rPr>
        <w:t>所产生的设备平台接入调试费用（若有）均包括在设备单价和总价中，设备平台接入调试费用发生时由乙方直接向第三方支付。</w:t>
      </w:r>
    </w:p>
    <w:p w14:paraId="5A95E6E2">
      <w:pPr>
        <w:spacing w:line="480" w:lineRule="exact"/>
        <w:ind w:firstLine="560" w:firstLineChars="200"/>
        <w:rPr>
          <w:rFonts w:ascii="仿宋" w:hAnsi="仿宋" w:eastAsia="仿宋" w:cs="仿宋"/>
          <w:sz w:val="28"/>
        </w:rPr>
      </w:pPr>
      <w:r>
        <w:rPr>
          <w:rFonts w:hint="eastAsia" w:ascii="仿宋" w:hAnsi="仿宋" w:eastAsia="仿宋" w:cs="仿宋"/>
          <w:sz w:val="28"/>
        </w:rPr>
        <w:t>甲方不再向乙方支付任何其他费用。</w:t>
      </w:r>
    </w:p>
    <w:p w14:paraId="5CF60292">
      <w:pPr>
        <w:spacing w:line="480" w:lineRule="exact"/>
        <w:ind w:firstLine="560" w:firstLineChars="200"/>
        <w:rPr>
          <w:rFonts w:ascii="仿宋" w:hAnsi="仿宋" w:eastAsia="仿宋" w:cs="仿宋"/>
          <w:sz w:val="28"/>
        </w:rPr>
      </w:pPr>
      <w:r>
        <w:rPr>
          <w:rFonts w:hint="eastAsia" w:ascii="仿宋" w:hAnsi="仿宋" w:eastAsia="仿宋" w:cs="仿宋"/>
          <w:sz w:val="28"/>
        </w:rPr>
        <w:t>2.最终实际采购设备数量以甲方书面发货通知单上的设备数量为准，若最终实际采购设备数量与拟采购设备数量不一致，乙方不得以此为由向甲方索赔。</w:t>
      </w:r>
    </w:p>
    <w:p w14:paraId="0DFEB895">
      <w:pPr>
        <w:spacing w:line="480" w:lineRule="exact"/>
        <w:ind w:firstLine="560" w:firstLineChars="200"/>
        <w:rPr>
          <w:rFonts w:ascii="仿宋" w:hAnsi="仿宋" w:eastAsia="仿宋" w:cs="仿宋"/>
          <w:sz w:val="28"/>
        </w:rPr>
      </w:pPr>
      <w:r>
        <w:rPr>
          <w:rFonts w:hint="eastAsia" w:ascii="仿宋" w:hAnsi="仿宋" w:eastAsia="仿宋" w:cs="仿宋"/>
          <w:sz w:val="28"/>
        </w:rPr>
        <w:t>3.具体支付方式和时间如下：充电堆设备到货安装完成、通电调试合格、完成计量检定工作并取得第1次检定合格证明和接入指定平台正常运行，经甲方验收合格后，乙方可申请支付充电堆货款。在收到乙方提供的100%该实际供货充电堆价款的增值税专用发票后10个工作日内，甲方向乙方一次性支付实际供货充电堆价款的97%，剩余3%货款一次性扣留作为质量保证金。</w:t>
      </w:r>
    </w:p>
    <w:p w14:paraId="46AE6B41">
      <w:pPr>
        <w:spacing w:line="480" w:lineRule="exact"/>
        <w:ind w:firstLine="562" w:firstLineChars="200"/>
      </w:pPr>
      <w:r>
        <w:rPr>
          <w:rFonts w:hint="eastAsia" w:ascii="仿宋" w:hAnsi="仿宋" w:eastAsia="仿宋" w:cs="仿宋"/>
          <w:b/>
          <w:bCs/>
          <w:sz w:val="28"/>
        </w:rPr>
        <w:t>三、质量保证及维护期</w:t>
      </w:r>
    </w:p>
    <w:p w14:paraId="30E234F9">
      <w:pPr>
        <w:spacing w:line="480" w:lineRule="exact"/>
        <w:ind w:firstLine="560" w:firstLineChars="200"/>
        <w:rPr>
          <w:rFonts w:ascii="仿宋" w:hAnsi="仿宋" w:eastAsia="仿宋" w:cs="仿宋"/>
          <w:sz w:val="28"/>
        </w:rPr>
      </w:pPr>
      <w:r>
        <w:rPr>
          <w:rFonts w:hint="eastAsia" w:ascii="仿宋" w:hAnsi="仿宋" w:eastAsia="仿宋" w:cs="仿宋"/>
          <w:sz w:val="28"/>
        </w:rPr>
        <w:t>1.质量保证及维护期</w:t>
      </w:r>
    </w:p>
    <w:p w14:paraId="642B9CF5">
      <w:pPr>
        <w:spacing w:line="480" w:lineRule="exact"/>
        <w:ind w:firstLine="640" w:firstLineChars="200"/>
        <w:jc w:val="left"/>
        <w:rPr>
          <w:rFonts w:ascii="仿宋" w:hAnsi="仿宋" w:eastAsia="仿宋" w:cs="仿宋"/>
          <w:sz w:val="28"/>
        </w:rPr>
      </w:pPr>
      <w:r>
        <w:rPr>
          <w:rFonts w:hint="eastAsia" w:ascii="仿宋" w:hAnsi="仿宋" w:eastAsia="仿宋" w:cs="仿宋"/>
          <w:bCs/>
          <w:sz w:val="32"/>
          <w:szCs w:val="32"/>
        </w:rPr>
        <w:t>（1）</w:t>
      </w:r>
      <w:r>
        <w:rPr>
          <w:rFonts w:hint="eastAsia" w:ascii="仿宋" w:hAnsi="仿宋" w:eastAsia="仿宋" w:cs="仿宋"/>
          <w:sz w:val="28"/>
        </w:rPr>
        <w:t>本合同充电堆设备质量保证及维护期时长为60个月，全部充电堆设备中的最后一台设备验收合格并接入甲方指定平台全部功能正常使用之日起满</w:t>
      </w:r>
      <w:r>
        <w:rPr>
          <w:rFonts w:hint="eastAsia" w:ascii="仿宋" w:hAnsi="仿宋" w:eastAsia="仿宋" w:cs="仿宋"/>
          <w:sz w:val="28"/>
          <w:u w:val="single"/>
        </w:rPr>
        <w:t xml:space="preserve"> 1 </w:t>
      </w:r>
      <w:r>
        <w:rPr>
          <w:rFonts w:hint="eastAsia" w:ascii="仿宋" w:hAnsi="仿宋" w:eastAsia="仿宋" w:cs="仿宋"/>
          <w:sz w:val="28"/>
        </w:rPr>
        <w:t>个月起算。</w:t>
      </w:r>
    </w:p>
    <w:p w14:paraId="04808848">
      <w:pPr>
        <w:spacing w:line="480" w:lineRule="exact"/>
        <w:ind w:firstLine="640" w:firstLineChars="200"/>
        <w:jc w:val="left"/>
        <w:rPr>
          <w:rFonts w:ascii="仿宋" w:hAnsi="仿宋" w:eastAsia="仿宋" w:cs="仿宋"/>
          <w:sz w:val="28"/>
        </w:rPr>
      </w:pPr>
      <w:r>
        <w:rPr>
          <w:rFonts w:hint="eastAsia" w:ascii="仿宋" w:hAnsi="仿宋" w:eastAsia="仿宋" w:cs="仿宋"/>
          <w:bCs/>
          <w:sz w:val="32"/>
          <w:szCs w:val="32"/>
        </w:rPr>
        <w:t>（2）</w:t>
      </w:r>
      <w:r>
        <w:rPr>
          <w:rFonts w:hint="eastAsia" w:ascii="仿宋" w:hAnsi="仿宋" w:eastAsia="仿宋" w:cs="仿宋"/>
          <w:sz w:val="28"/>
        </w:rPr>
        <w:t>合同约定的保证期满后，甲方在 30 日内出具合同设备保证期满最终验收资料交给乙方。前提条件是：保证期满前，乙方已完成甲方提出的索赔和赔偿（如有）。</w:t>
      </w:r>
    </w:p>
    <w:p w14:paraId="114810DC">
      <w:pPr>
        <w:spacing w:line="480" w:lineRule="exact"/>
        <w:ind w:firstLine="560" w:firstLineChars="200"/>
        <w:jc w:val="left"/>
        <w:rPr>
          <w:rFonts w:ascii="仿宋" w:hAnsi="仿宋" w:eastAsia="仿宋" w:cs="仿宋"/>
          <w:sz w:val="28"/>
        </w:rPr>
      </w:pPr>
      <w:r>
        <w:rPr>
          <w:rFonts w:hint="eastAsia" w:ascii="仿宋" w:hAnsi="仿宋" w:eastAsia="仿宋" w:cs="仿宋"/>
          <w:sz w:val="28"/>
        </w:rPr>
        <w:t>2.质量保证金</w:t>
      </w:r>
    </w:p>
    <w:p w14:paraId="26B86C0D">
      <w:pPr>
        <w:spacing w:line="480" w:lineRule="exact"/>
        <w:ind w:firstLine="560" w:firstLineChars="200"/>
        <w:jc w:val="left"/>
        <w:rPr>
          <w:rFonts w:ascii="仿宋" w:hAnsi="仿宋" w:eastAsia="仿宋" w:cs="仿宋"/>
          <w:sz w:val="28"/>
        </w:rPr>
      </w:pPr>
      <w:r>
        <w:rPr>
          <w:rFonts w:hint="eastAsia" w:ascii="仿宋" w:hAnsi="仿宋" w:eastAsia="仿宋" w:cs="仿宋"/>
          <w:sz w:val="28"/>
        </w:rPr>
        <w:t>双方约定，将实际供货充电堆价款总额的3%作为质保金，在甲方向乙方支付设备款时一次性扣留，待质保期满后，甲方在收到乙方申请支付质保金的书面请求后10个工作日内向乙方支付。</w:t>
      </w:r>
    </w:p>
    <w:p w14:paraId="3E4294D9">
      <w:pPr>
        <w:spacing w:line="480" w:lineRule="exact"/>
        <w:ind w:firstLine="560" w:firstLineChars="200"/>
        <w:jc w:val="left"/>
        <w:rPr>
          <w:rFonts w:ascii="仿宋" w:hAnsi="仿宋" w:eastAsia="仿宋" w:cs="仿宋"/>
          <w:sz w:val="28"/>
        </w:rPr>
      </w:pPr>
      <w:r>
        <w:rPr>
          <w:rFonts w:hint="eastAsia" w:ascii="仿宋" w:hAnsi="仿宋" w:eastAsia="仿宋" w:cs="仿宋"/>
          <w:sz w:val="28"/>
        </w:rPr>
        <w:t>3.关于产品升级</w:t>
      </w:r>
    </w:p>
    <w:p w14:paraId="70097A78">
      <w:pPr>
        <w:spacing w:line="480" w:lineRule="exact"/>
        <w:ind w:firstLine="560" w:firstLineChars="200"/>
        <w:rPr>
          <w:rFonts w:ascii="仿宋" w:hAnsi="仿宋" w:eastAsia="仿宋" w:cs="仿宋"/>
          <w:sz w:val="28"/>
        </w:rPr>
      </w:pPr>
      <w:r>
        <w:rPr>
          <w:rFonts w:hint="eastAsia" w:ascii="仿宋" w:hAnsi="仿宋" w:eastAsia="仿宋" w:cs="仿宋"/>
          <w:sz w:val="28"/>
        </w:rPr>
        <w:t>自验收合格之日起，国家、行业5年内发布最新相应产品标准的，乙方应根据用户需求免费进行产品升级。设备质保期内，乙方须负责对设备软、硬件出现的各种故障进行免费技术支持和维修养护，五年之后产品升级服务，由乙方负责产品升级，费用可由双方协商解决。</w:t>
      </w:r>
    </w:p>
    <w:p w14:paraId="4ABF0C9F">
      <w:pPr>
        <w:spacing w:line="480" w:lineRule="exact"/>
        <w:ind w:firstLine="560" w:firstLineChars="200"/>
        <w:rPr>
          <w:rFonts w:ascii="仿宋" w:hAnsi="仿宋" w:eastAsia="仿宋" w:cs="仿宋"/>
          <w:sz w:val="28"/>
        </w:rPr>
      </w:pPr>
      <w:r>
        <w:rPr>
          <w:rFonts w:hint="eastAsia" w:ascii="仿宋" w:hAnsi="仿宋" w:eastAsia="仿宋" w:cs="仿宋"/>
          <w:sz w:val="28"/>
        </w:rPr>
        <w:t>4.质保期服务</w:t>
      </w:r>
    </w:p>
    <w:p w14:paraId="38881EDF">
      <w:pPr>
        <w:spacing w:line="480" w:lineRule="exact"/>
        <w:ind w:firstLine="560" w:firstLineChars="200"/>
        <w:jc w:val="left"/>
        <w:rPr>
          <w:rFonts w:ascii="仿宋" w:hAnsi="仿宋" w:eastAsia="仿宋" w:cs="仿宋"/>
          <w:sz w:val="28"/>
        </w:rPr>
      </w:pPr>
      <w:r>
        <w:rPr>
          <w:rFonts w:hint="eastAsia" w:ascii="仿宋" w:hAnsi="仿宋" w:eastAsia="仿宋" w:cs="仿宋"/>
          <w:sz w:val="28"/>
        </w:rPr>
        <w:t>（1）保质期内合同设备如出现质量问题，乙方需免费解决设备质量问题，包括免费更换设备备品备件，备件范围包括但不限于整套电气元器件、各种型号配件、整套模块、电气类易损件等。</w:t>
      </w:r>
    </w:p>
    <w:p w14:paraId="5662D1EA">
      <w:pPr>
        <w:spacing w:line="480" w:lineRule="exact"/>
        <w:ind w:firstLine="560" w:firstLineChars="200"/>
        <w:rPr>
          <w:rFonts w:ascii="仿宋" w:hAnsi="仿宋" w:eastAsia="仿宋" w:cs="仿宋"/>
          <w:sz w:val="28"/>
        </w:rPr>
      </w:pPr>
      <w:r>
        <w:rPr>
          <w:rFonts w:hint="eastAsia" w:ascii="仿宋" w:hAnsi="仿宋" w:eastAsia="仿宋" w:cs="仿宋"/>
          <w:sz w:val="28"/>
        </w:rPr>
        <w:t>（2）乙方应在质保期间设立项目运维中心，中心配备充足的技术人员、工具和备件并保证提供的联系方式畅通。除合同文件另有约定外，乙方应在收到甲方通知后1小时内做出响应，如需乙方到合同设备现场，乙方应在收到甲方通知后24小时内到达，并在到达后24小时内解决合同设备的故障（运行事故除外）。项目运维中心应设立备件仓库，备件范围包括但不限于整套电气元器件、各种型号配件、整套模块、电气类易损件等。如果乙方未在上述时间内作出响应，则甲方有权自行或委托他人解决相关问题或查找和解决合同设备的故障，乙方应承担由此发生的全部费用和甲方损失。乙方配备的售后维修人员须具备低压电工证书。</w:t>
      </w:r>
    </w:p>
    <w:p w14:paraId="54675418">
      <w:p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（3）</w:t>
      </w:r>
      <w:r>
        <w:rPr>
          <w:rFonts w:hint="eastAsia" w:ascii="仿宋" w:hAnsi="仿宋" w:eastAsia="仿宋" w:cs="仿宋"/>
          <w:sz w:val="28"/>
          <w:szCs w:val="28"/>
        </w:rPr>
        <w:t>保质期内遇国家法定假日，乙方须按甲方要求对乙方设备进行巡检。</w:t>
      </w:r>
    </w:p>
    <w:p w14:paraId="2B4F740F">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5.履约保证金</w:t>
      </w:r>
    </w:p>
    <w:p w14:paraId="1231724E">
      <w:p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（1）</w:t>
      </w:r>
      <w:r>
        <w:rPr>
          <w:rFonts w:hint="eastAsia" w:ascii="仿宋" w:hAnsi="仿宋" w:eastAsia="仿宋" w:cs="仿宋"/>
          <w:sz w:val="28"/>
          <w:szCs w:val="28"/>
        </w:rPr>
        <w:t>本合同不需提供履约保证金，履约保证金金额为人民币大写：/（小写：/元）。</w:t>
      </w:r>
    </w:p>
    <w:p w14:paraId="327CDF48">
      <w:pPr>
        <w:spacing w:line="480" w:lineRule="exact"/>
        <w:ind w:firstLine="560" w:firstLineChars="200"/>
        <w:jc w:val="left"/>
        <w:rPr>
          <w:rFonts w:ascii="仿宋" w:hAnsi="仿宋" w:eastAsia="仿宋" w:cs="仿宋"/>
          <w:sz w:val="28"/>
          <w:szCs w:val="28"/>
        </w:rPr>
      </w:pPr>
      <w:r>
        <w:rPr>
          <w:rFonts w:hint="eastAsia" w:ascii="仿宋" w:hAnsi="仿宋" w:eastAsia="仿宋" w:cs="仿宋"/>
          <w:bCs/>
          <w:sz w:val="28"/>
          <w:szCs w:val="28"/>
        </w:rPr>
        <w:t>（2）</w:t>
      </w:r>
      <w:r>
        <w:rPr>
          <w:rFonts w:hint="eastAsia" w:ascii="仿宋" w:hAnsi="仿宋" w:eastAsia="仿宋" w:cs="仿宋"/>
          <w:sz w:val="28"/>
          <w:szCs w:val="28"/>
        </w:rPr>
        <w:t>履约担保的形式：其中现金占</w:t>
      </w:r>
      <w:r>
        <w:rPr>
          <w:rFonts w:hint="eastAsia" w:ascii="仿宋" w:hAnsi="仿宋" w:eastAsia="仿宋" w:cs="仿宋"/>
          <w:sz w:val="28"/>
          <w:szCs w:val="28"/>
          <w:u w:val="single"/>
        </w:rPr>
        <w:t xml:space="preserve">  / </w:t>
      </w:r>
      <w:r>
        <w:rPr>
          <w:rFonts w:hint="eastAsia" w:ascii="仿宋" w:hAnsi="仿宋" w:eastAsia="仿宋" w:cs="仿宋"/>
          <w:sz w:val="28"/>
          <w:szCs w:val="28"/>
        </w:rPr>
        <w:t>%，保函担保占</w:t>
      </w:r>
      <w:r>
        <w:rPr>
          <w:rFonts w:hint="eastAsia" w:ascii="仿宋" w:hAnsi="仿宋" w:eastAsia="仿宋" w:cs="仿宋"/>
          <w:sz w:val="28"/>
          <w:szCs w:val="28"/>
          <w:u w:val="single"/>
        </w:rPr>
        <w:t xml:space="preserve"> /  </w:t>
      </w:r>
      <w:r>
        <w:rPr>
          <w:rFonts w:hint="eastAsia" w:ascii="仿宋" w:hAnsi="仿宋" w:eastAsia="仿宋" w:cs="仿宋"/>
          <w:sz w:val="28"/>
          <w:szCs w:val="28"/>
        </w:rPr>
        <w:t>%（现金担保必须通过乙方的基本账户以银行转账方式一次性缴纳）。</w:t>
      </w:r>
    </w:p>
    <w:p w14:paraId="7FDCF7E4">
      <w:p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（3）</w:t>
      </w:r>
      <w:r>
        <w:rPr>
          <w:rFonts w:hint="eastAsia" w:ascii="仿宋" w:hAnsi="仿宋" w:eastAsia="仿宋" w:cs="仿宋"/>
          <w:sz w:val="28"/>
          <w:szCs w:val="28"/>
        </w:rPr>
        <w:t>履约担保有效期</w:t>
      </w:r>
    </w:p>
    <w:p w14:paraId="1899B148">
      <w:pPr>
        <w:spacing w:line="480" w:lineRule="exact"/>
        <w:ind w:firstLine="1120" w:firstLineChars="400"/>
        <w:rPr>
          <w:rFonts w:ascii="仿宋" w:hAnsi="仿宋" w:eastAsia="仿宋" w:cs="仿宋"/>
          <w:sz w:val="28"/>
          <w:szCs w:val="28"/>
        </w:rPr>
      </w:pPr>
      <w:r>
        <w:rPr>
          <w:rFonts w:hint="eastAsia" w:ascii="仿宋" w:hAnsi="仿宋" w:eastAsia="仿宋" w:cs="仿宋"/>
          <w:sz w:val="28"/>
          <w:szCs w:val="28"/>
        </w:rPr>
        <w:t>/</w:t>
      </w:r>
    </w:p>
    <w:p w14:paraId="6234AADA">
      <w:pPr>
        <w:spacing w:line="480" w:lineRule="exact"/>
        <w:ind w:firstLine="560" w:firstLineChars="200"/>
        <w:rPr>
          <w:rFonts w:ascii="仿宋" w:hAnsi="仿宋" w:eastAsia="仿宋" w:cs="仿宋"/>
          <w:sz w:val="28"/>
        </w:rPr>
      </w:pPr>
      <w:r>
        <w:rPr>
          <w:rFonts w:hint="eastAsia" w:ascii="仿宋" w:hAnsi="仿宋" w:eastAsia="仿宋" w:cs="仿宋"/>
          <w:bCs/>
          <w:sz w:val="28"/>
          <w:szCs w:val="28"/>
        </w:rPr>
        <w:t>（4）</w:t>
      </w:r>
      <w:r>
        <w:rPr>
          <w:rFonts w:hint="eastAsia" w:ascii="仿宋" w:hAnsi="仿宋" w:eastAsia="仿宋" w:cs="仿宋"/>
          <w:sz w:val="28"/>
        </w:rPr>
        <w:t>履约担保的退还</w:t>
      </w:r>
    </w:p>
    <w:p w14:paraId="59C04C9C">
      <w:pPr>
        <w:spacing w:line="480" w:lineRule="exact"/>
        <w:ind w:firstLine="1120" w:firstLineChars="400"/>
        <w:rPr>
          <w:rFonts w:ascii="仿宋" w:hAnsi="仿宋" w:eastAsia="仿宋" w:cs="仿宋"/>
          <w:sz w:val="28"/>
        </w:rPr>
      </w:pPr>
      <w:r>
        <w:rPr>
          <w:rFonts w:hint="eastAsia" w:ascii="仿宋" w:hAnsi="仿宋" w:eastAsia="仿宋" w:cs="仿宋"/>
          <w:sz w:val="28"/>
        </w:rPr>
        <w:t>/</w:t>
      </w:r>
    </w:p>
    <w:p w14:paraId="69D6BC3A">
      <w:pPr>
        <w:spacing w:line="480" w:lineRule="exact"/>
        <w:ind w:firstLine="1120" w:firstLineChars="400"/>
        <w:rPr>
          <w:rFonts w:ascii="仿宋" w:hAnsi="仿宋" w:eastAsia="仿宋" w:cs="仿宋"/>
          <w:sz w:val="28"/>
        </w:rPr>
      </w:pPr>
      <w:r>
        <w:rPr>
          <w:rFonts w:hint="eastAsia" w:ascii="仿宋" w:hAnsi="仿宋" w:eastAsia="仿宋" w:cs="仿宋"/>
          <w:sz w:val="28"/>
          <w:szCs w:val="28"/>
        </w:rPr>
        <w:t>（5）甲方开票信息如下</w:t>
      </w:r>
      <w:r>
        <w:rPr>
          <w:rFonts w:hint="eastAsia" w:ascii="仿宋" w:hAnsi="仿宋" w:eastAsia="仿宋" w:cs="仿宋"/>
          <w:sz w:val="28"/>
        </w:rPr>
        <w:t>：</w:t>
      </w:r>
    </w:p>
    <w:p w14:paraId="53744D47">
      <w:pPr>
        <w:spacing w:line="480" w:lineRule="exact"/>
        <w:ind w:firstLine="560" w:firstLineChars="200"/>
        <w:rPr>
          <w:rFonts w:ascii="仿宋" w:hAnsi="仿宋" w:eastAsia="仿宋" w:cs="仿宋"/>
          <w:sz w:val="28"/>
        </w:rPr>
      </w:pPr>
      <w:r>
        <w:rPr>
          <w:rFonts w:hint="eastAsia" w:ascii="仿宋" w:hAnsi="仿宋" w:eastAsia="仿宋" w:cs="仿宋"/>
          <w:sz w:val="28"/>
        </w:rPr>
        <w:t>账户名称：四川蜀道新能源科技发展有限公司</w:t>
      </w:r>
    </w:p>
    <w:p w14:paraId="7115A6D6">
      <w:pPr>
        <w:spacing w:line="480" w:lineRule="exact"/>
        <w:ind w:firstLine="560" w:firstLineChars="200"/>
        <w:rPr>
          <w:rFonts w:ascii="仿宋" w:hAnsi="仿宋" w:eastAsia="仿宋" w:cs="仿宋"/>
          <w:sz w:val="28"/>
        </w:rPr>
      </w:pPr>
      <w:r>
        <w:rPr>
          <w:rFonts w:hint="eastAsia" w:ascii="仿宋" w:hAnsi="仿宋" w:eastAsia="仿宋" w:cs="仿宋"/>
          <w:sz w:val="28"/>
        </w:rPr>
        <w:t>税    号：91510100MA6ARPET9E</w:t>
      </w:r>
    </w:p>
    <w:p w14:paraId="32B4B299">
      <w:pPr>
        <w:spacing w:line="480" w:lineRule="exact"/>
        <w:ind w:firstLine="560" w:firstLineChars="200"/>
        <w:rPr>
          <w:rFonts w:ascii="仿宋" w:hAnsi="仿宋" w:eastAsia="仿宋" w:cs="仿宋"/>
          <w:sz w:val="28"/>
        </w:rPr>
      </w:pPr>
      <w:r>
        <w:rPr>
          <w:rFonts w:hint="eastAsia" w:ascii="仿宋" w:hAnsi="仿宋" w:eastAsia="仿宋" w:cs="仿宋"/>
          <w:sz w:val="28"/>
        </w:rPr>
        <w:t>开户银行： 中国建设银行成都第三支行</w:t>
      </w:r>
    </w:p>
    <w:p w14:paraId="46D2D8DA">
      <w:pPr>
        <w:spacing w:line="480" w:lineRule="exact"/>
        <w:ind w:firstLine="560" w:firstLineChars="200"/>
        <w:rPr>
          <w:rFonts w:ascii="仿宋" w:hAnsi="仿宋" w:eastAsia="仿宋" w:cs="仿宋"/>
          <w:sz w:val="28"/>
        </w:rPr>
      </w:pPr>
      <w:r>
        <w:rPr>
          <w:rFonts w:hint="eastAsia" w:ascii="仿宋" w:hAnsi="仿宋" w:eastAsia="仿宋" w:cs="仿宋"/>
          <w:sz w:val="28"/>
        </w:rPr>
        <w:t>账    号：51050143630800004340</w:t>
      </w:r>
    </w:p>
    <w:p w14:paraId="539915F2">
      <w:pPr>
        <w:spacing w:line="480" w:lineRule="exact"/>
        <w:ind w:firstLine="560" w:firstLineChars="200"/>
        <w:rPr>
          <w:rFonts w:ascii="仿宋" w:hAnsi="仿宋" w:eastAsia="仿宋" w:cs="仿宋"/>
          <w:sz w:val="28"/>
        </w:rPr>
      </w:pPr>
      <w:r>
        <w:rPr>
          <w:rFonts w:hint="eastAsia" w:ascii="仿宋" w:hAnsi="仿宋" w:eastAsia="仿宋" w:cs="仿宋"/>
          <w:sz w:val="28"/>
        </w:rPr>
        <w:t>地    址： 成都高新区创业路1号1栋14楼1401、1402号</w:t>
      </w:r>
    </w:p>
    <w:p w14:paraId="3AD269E7">
      <w:pPr>
        <w:spacing w:line="480" w:lineRule="exact"/>
        <w:ind w:firstLine="560" w:firstLineChars="200"/>
        <w:rPr>
          <w:rFonts w:ascii="仿宋" w:hAnsi="仿宋" w:eastAsia="仿宋" w:cs="仿宋"/>
          <w:sz w:val="28"/>
        </w:rPr>
      </w:pPr>
      <w:r>
        <w:rPr>
          <w:rFonts w:hint="eastAsia" w:ascii="仿宋" w:hAnsi="仿宋" w:eastAsia="仿宋" w:cs="仿宋"/>
          <w:sz w:val="28"/>
        </w:rPr>
        <w:t>电    话：028-6876 1709</w:t>
      </w:r>
    </w:p>
    <w:p w14:paraId="4FF61028">
      <w:pPr>
        <w:pStyle w:val="2"/>
        <w:spacing w:after="0" w:line="480" w:lineRule="exact"/>
        <w:ind w:left="0" w:leftChars="0" w:firstLine="560"/>
        <w:rPr>
          <w:rFonts w:ascii="仿宋" w:hAnsi="仿宋" w:eastAsia="仿宋" w:cs="仿宋"/>
          <w:kern w:val="2"/>
        </w:rPr>
      </w:pPr>
      <w:r>
        <w:rPr>
          <w:rFonts w:hint="eastAsia" w:ascii="仿宋" w:hAnsi="仿宋" w:eastAsia="仿宋" w:cs="仿宋"/>
          <w:kern w:val="2"/>
        </w:rPr>
        <w:t>（6）乙方收款账户信息如下：</w:t>
      </w:r>
    </w:p>
    <w:p w14:paraId="25A11D81">
      <w:pPr>
        <w:widowControl/>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账户名称：</w:t>
      </w:r>
      <w:r>
        <w:rPr>
          <w:rFonts w:hint="eastAsia" w:ascii="仿宋" w:hAnsi="仿宋" w:eastAsia="仿宋" w:cs="仿宋"/>
          <w:sz w:val="28"/>
        </w:rPr>
        <w:t xml:space="preserve">       </w:t>
      </w:r>
      <w:r>
        <w:rPr>
          <w:rFonts w:hint="eastAsia" w:ascii="仿宋" w:hAnsi="仿宋" w:eastAsia="仿宋" w:cs="仿宋"/>
          <w:sz w:val="28"/>
          <w:szCs w:val="28"/>
        </w:rPr>
        <w:t xml:space="preserve">                                  </w:t>
      </w:r>
    </w:p>
    <w:p w14:paraId="034EF15A">
      <w:pPr>
        <w:widowControl/>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纳税人识别号：</w:t>
      </w:r>
    </w:p>
    <w:p w14:paraId="7847640C">
      <w:pPr>
        <w:widowControl/>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rPr>
        <w:t xml:space="preserve">       </w:t>
      </w:r>
      <w:r>
        <w:rPr>
          <w:rFonts w:hint="eastAsia" w:ascii="仿宋" w:hAnsi="仿宋" w:eastAsia="仿宋" w:cs="仿宋"/>
          <w:sz w:val="28"/>
          <w:szCs w:val="28"/>
        </w:rPr>
        <w:t xml:space="preserve">                 </w:t>
      </w:r>
    </w:p>
    <w:p w14:paraId="1C4F4B58">
      <w:pPr>
        <w:widowControl/>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开户行名称：</w:t>
      </w:r>
      <w:r>
        <w:rPr>
          <w:rFonts w:hint="eastAsia" w:ascii="仿宋" w:hAnsi="仿宋" w:eastAsia="仿宋" w:cs="仿宋"/>
          <w:sz w:val="28"/>
        </w:rPr>
        <w:t xml:space="preserve">                </w:t>
      </w:r>
      <w:r>
        <w:rPr>
          <w:rFonts w:hint="eastAsia" w:ascii="仿宋" w:hAnsi="仿宋" w:eastAsia="仿宋" w:cs="仿宋"/>
          <w:sz w:val="28"/>
          <w:szCs w:val="28"/>
        </w:rPr>
        <w:t xml:space="preserve">                    </w:t>
      </w:r>
    </w:p>
    <w:p w14:paraId="3D99BFAA">
      <w:pPr>
        <w:widowControl/>
        <w:spacing w:line="600" w:lineRule="exact"/>
        <w:ind w:firstLine="560" w:firstLineChars="200"/>
        <w:jc w:val="left"/>
        <w:rPr>
          <w:rFonts w:ascii="仿宋" w:hAnsi="仿宋" w:eastAsia="仿宋" w:cs="仿宋"/>
          <w:b/>
          <w:kern w:val="0"/>
          <w:sz w:val="28"/>
          <w:szCs w:val="28"/>
        </w:rPr>
      </w:pPr>
      <w:r>
        <w:rPr>
          <w:rFonts w:hint="eastAsia" w:ascii="仿宋" w:hAnsi="仿宋" w:eastAsia="仿宋" w:cs="仿宋"/>
          <w:sz w:val="28"/>
          <w:szCs w:val="28"/>
        </w:rPr>
        <w:t>开户账号：</w:t>
      </w:r>
    </w:p>
    <w:p w14:paraId="2DFD7A7D">
      <w:pPr>
        <w:spacing w:before="156" w:beforeLines="50" w:line="48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四、合同期限</w:t>
      </w:r>
    </w:p>
    <w:p w14:paraId="0323A216">
      <w:pPr>
        <w:spacing w:before="156" w:beforeLines="50" w:line="480" w:lineRule="exact"/>
        <w:ind w:firstLine="560" w:firstLineChars="200"/>
        <w:rPr>
          <w:rFonts w:ascii="仿宋" w:hAnsi="仿宋" w:eastAsia="仿宋" w:cs="仿宋"/>
          <w:sz w:val="28"/>
        </w:rPr>
      </w:pPr>
      <w:r>
        <w:rPr>
          <w:rFonts w:hint="eastAsia" w:ascii="仿宋" w:hAnsi="仿宋" w:eastAsia="仿宋" w:cs="仿宋"/>
          <w:sz w:val="28"/>
        </w:rPr>
        <w:t>合同签订之日起至实际供货的全部充电堆设备质保期结束止。</w:t>
      </w:r>
    </w:p>
    <w:p w14:paraId="35D207CC">
      <w:pPr>
        <w:spacing w:before="156" w:beforeLines="50" w:line="48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五、运输、交付与验收</w:t>
      </w:r>
    </w:p>
    <w:p w14:paraId="5CD43BE5">
      <w:pPr>
        <w:spacing w:line="480" w:lineRule="exact"/>
        <w:ind w:firstLine="560" w:firstLineChars="200"/>
        <w:rPr>
          <w:rFonts w:ascii="仿宋" w:hAnsi="仿宋" w:eastAsia="仿宋" w:cs="仿宋"/>
          <w:sz w:val="28"/>
        </w:rPr>
      </w:pPr>
      <w:r>
        <w:rPr>
          <w:rFonts w:hint="eastAsia" w:ascii="仿宋" w:hAnsi="仿宋" w:eastAsia="仿宋" w:cs="仿宋"/>
          <w:sz w:val="28"/>
        </w:rPr>
        <w:t>1.充电堆设备由乙方负责包装、确定承运方并承担运输费用及风险。</w:t>
      </w:r>
    </w:p>
    <w:p w14:paraId="30B4A659">
      <w:pPr>
        <w:spacing w:line="480" w:lineRule="exact"/>
        <w:ind w:firstLine="560" w:firstLineChars="200"/>
        <w:rPr>
          <w:rFonts w:ascii="仿宋" w:hAnsi="仿宋" w:eastAsia="仿宋" w:cs="仿宋"/>
          <w:sz w:val="28"/>
        </w:rPr>
      </w:pPr>
      <w:r>
        <w:rPr>
          <w:rFonts w:hint="eastAsia" w:ascii="仿宋" w:hAnsi="仿宋" w:eastAsia="仿宋" w:cs="仿宋"/>
          <w:sz w:val="28"/>
        </w:rPr>
        <w:t>2.合同签订后乙方按要求备齐全部货物，并要求承运方将</w:t>
      </w:r>
      <w:r>
        <w:rPr>
          <w:rFonts w:hint="eastAsia" w:ascii="仿宋" w:hAnsi="仿宋" w:eastAsia="仿宋" w:cs="仿宋"/>
          <w:sz w:val="28"/>
          <w:lang w:val="en-US" w:eastAsia="zh-CN"/>
        </w:rPr>
        <w:t>2</w:t>
      </w:r>
      <w:r>
        <w:rPr>
          <w:rFonts w:hint="eastAsia" w:ascii="仿宋" w:hAnsi="仿宋" w:eastAsia="仿宋" w:cs="仿宋"/>
          <w:sz w:val="28"/>
        </w:rPr>
        <w:t>套充电堆设备运送至绵九高速</w:t>
      </w:r>
      <w:r>
        <w:rPr>
          <w:rFonts w:hint="eastAsia" w:ascii="仿宋" w:hAnsi="仿宋" w:eastAsia="仿宋" w:cs="仿宋"/>
          <w:sz w:val="28"/>
          <w:lang w:val="en-US" w:eastAsia="zh-CN"/>
        </w:rPr>
        <w:t>柴门关服务区</w:t>
      </w:r>
      <w:r>
        <w:rPr>
          <w:rFonts w:hint="eastAsia" w:ascii="仿宋" w:hAnsi="仿宋" w:eastAsia="仿宋" w:cs="仿宋"/>
          <w:sz w:val="28"/>
        </w:rPr>
        <w:t>，并按照甲方发货通知开展设备供应、运输、调试、接入平台、计量检定等工作。</w:t>
      </w:r>
    </w:p>
    <w:p w14:paraId="5F12F29C">
      <w:pPr>
        <w:spacing w:line="480" w:lineRule="exact"/>
        <w:ind w:firstLine="560" w:firstLineChars="200"/>
        <w:rPr>
          <w:rFonts w:ascii="仿宋" w:hAnsi="仿宋" w:eastAsia="仿宋" w:cs="仿宋"/>
          <w:sz w:val="28"/>
        </w:rPr>
      </w:pPr>
      <w:r>
        <w:rPr>
          <w:rFonts w:hint="eastAsia" w:ascii="仿宋" w:hAnsi="仿宋" w:eastAsia="仿宋" w:cs="仿宋"/>
          <w:sz w:val="28"/>
        </w:rPr>
        <w:t>3.充电堆设备正式交付甲方之前，其存放由乙方负责，并承担相应费用及风险。若合同充电堆设备运输需购买商业保险，其保险费用由乙方承担。</w:t>
      </w:r>
    </w:p>
    <w:p w14:paraId="737D8E54">
      <w:pPr>
        <w:spacing w:line="480" w:lineRule="exact"/>
        <w:ind w:firstLine="560" w:firstLineChars="200"/>
        <w:rPr>
          <w:rFonts w:ascii="仿宋" w:hAnsi="仿宋" w:eastAsia="仿宋" w:cs="仿宋"/>
          <w:sz w:val="28"/>
        </w:rPr>
      </w:pPr>
      <w:r>
        <w:rPr>
          <w:rFonts w:hint="eastAsia" w:ascii="仿宋" w:hAnsi="仿宋" w:eastAsia="仿宋" w:cs="仿宋"/>
          <w:sz w:val="28"/>
        </w:rPr>
        <w:t>4. 设备验收：</w:t>
      </w:r>
    </w:p>
    <w:p w14:paraId="4AC4FD42">
      <w:pPr>
        <w:spacing w:line="480" w:lineRule="exact"/>
        <w:ind w:firstLine="560" w:firstLineChars="200"/>
        <w:jc w:val="left"/>
        <w:rPr>
          <w:rFonts w:ascii="仿宋" w:hAnsi="仿宋" w:eastAsia="仿宋" w:cs="仿宋"/>
          <w:sz w:val="28"/>
        </w:rPr>
      </w:pPr>
      <w:r>
        <w:rPr>
          <w:rFonts w:hint="eastAsia" w:ascii="仿宋" w:hAnsi="仿宋" w:eastAsia="仿宋" w:cs="仿宋"/>
          <w:sz w:val="28"/>
        </w:rPr>
        <w:t>（1）验收应在设备达到连续稳定运行15天后进行，验收的目的是为验证设备是否能达到各项技术性能和保证指标。验收由甲方负责组织，乙方参加。</w:t>
      </w:r>
    </w:p>
    <w:p w14:paraId="3F5539FE">
      <w:pPr>
        <w:spacing w:line="480" w:lineRule="exact"/>
        <w:ind w:firstLine="560" w:firstLineChars="200"/>
        <w:rPr>
          <w:rFonts w:ascii="仿宋" w:hAnsi="仿宋" w:eastAsia="仿宋" w:cs="仿宋"/>
          <w:sz w:val="28"/>
        </w:rPr>
      </w:pPr>
      <w:r>
        <w:rPr>
          <w:rFonts w:hint="eastAsia" w:ascii="仿宋" w:hAnsi="仿宋" w:eastAsia="仿宋" w:cs="仿宋"/>
          <w:sz w:val="28"/>
        </w:rPr>
        <w:t>（2）在不影响本合同设备安全、可靠运行的条件下，如有个别微小缺陷，且此缺陷按本合同条款被定为乙方责任，乙方在双方商定的时间内免费修理上述的缺陷，甲方则可同意签署验收合格。</w:t>
      </w:r>
    </w:p>
    <w:p w14:paraId="4C3A0E69">
      <w:pPr>
        <w:spacing w:line="480" w:lineRule="exact"/>
        <w:ind w:firstLine="560" w:firstLineChars="200"/>
        <w:rPr>
          <w:rFonts w:ascii="仿宋" w:hAnsi="仿宋" w:eastAsia="仿宋" w:cs="仿宋"/>
          <w:sz w:val="28"/>
        </w:rPr>
      </w:pPr>
      <w:r>
        <w:rPr>
          <w:rFonts w:hint="eastAsia" w:ascii="仿宋" w:hAnsi="仿宋" w:eastAsia="仿宋" w:cs="仿宋"/>
          <w:sz w:val="28"/>
        </w:rPr>
        <w:t>（3）如验收时合同设备不能达到供货要求所规定的一项或多项供货要求所规定的性能保证值，乙方应立即更换和修理，使设备尽快达到验收条件，双方进行第2次验收。</w:t>
      </w:r>
    </w:p>
    <w:p w14:paraId="12764C0E">
      <w:pPr>
        <w:spacing w:line="480" w:lineRule="exact"/>
        <w:ind w:firstLine="560" w:firstLineChars="200"/>
        <w:rPr>
          <w:rFonts w:ascii="仿宋" w:hAnsi="仿宋" w:eastAsia="仿宋" w:cs="仿宋"/>
          <w:sz w:val="28"/>
        </w:rPr>
      </w:pPr>
      <w:r>
        <w:rPr>
          <w:rFonts w:hint="eastAsia" w:ascii="仿宋" w:hAnsi="仿宋" w:eastAsia="仿宋" w:cs="仿宋"/>
          <w:sz w:val="28"/>
        </w:rPr>
        <w:t>（4）验收合格表明设备可以按合同要求予以接受，甲方签署验收合格，但不能视为乙方对合同设备中存在的潜在缺陷免除或减轻责任的证据。</w:t>
      </w:r>
    </w:p>
    <w:p w14:paraId="489DBA84">
      <w:pPr>
        <w:spacing w:line="480" w:lineRule="exact"/>
        <w:ind w:firstLine="562" w:firstLineChars="200"/>
        <w:rPr>
          <w:rFonts w:ascii="仿宋" w:hAnsi="仿宋" w:eastAsia="仿宋" w:cs="仿宋"/>
          <w:sz w:val="28"/>
        </w:rPr>
      </w:pPr>
      <w:r>
        <w:rPr>
          <w:rFonts w:hint="eastAsia" w:ascii="仿宋" w:hAnsi="仿宋" w:eastAsia="仿宋" w:cs="仿宋"/>
          <w:b/>
          <w:kern w:val="0"/>
          <w:sz w:val="28"/>
          <w:szCs w:val="28"/>
        </w:rPr>
        <w:t>六、售后服务</w:t>
      </w:r>
    </w:p>
    <w:p w14:paraId="1699170E">
      <w:pPr>
        <w:spacing w:line="480" w:lineRule="exact"/>
        <w:ind w:firstLine="560" w:firstLineChars="200"/>
        <w:rPr>
          <w:rFonts w:ascii="仿宋" w:hAnsi="仿宋" w:eastAsia="仿宋" w:cs="仿宋"/>
          <w:sz w:val="28"/>
        </w:rPr>
      </w:pPr>
      <w:r>
        <w:rPr>
          <w:rFonts w:hint="eastAsia" w:ascii="仿宋" w:hAnsi="仿宋" w:eastAsia="仿宋" w:cs="仿宋"/>
          <w:sz w:val="28"/>
        </w:rPr>
        <w:t>1.质保及维护期内若因非人为原因造成合同充电堆设备故障的，如需乙方到合同设备现场，由乙方接到甲方通知后</w:t>
      </w:r>
      <w:r>
        <w:rPr>
          <w:rFonts w:hint="eastAsia" w:ascii="仿宋" w:hAnsi="仿宋" w:eastAsia="仿宋" w:cs="仿宋"/>
          <w:sz w:val="28"/>
          <w:u w:val="single"/>
        </w:rPr>
        <w:t>1小时做出响应，</w:t>
      </w:r>
      <w:r>
        <w:rPr>
          <w:rFonts w:hint="eastAsia" w:ascii="仿宋" w:hAnsi="仿宋" w:eastAsia="仿宋" w:cs="仿宋"/>
          <w:sz w:val="28"/>
        </w:rPr>
        <w:t>指派专业人员前往充电堆设备所在地进行免费维修，24小时内完成维修工作。如需更换部件，由乙方进行部件更换，并承担相关费用。</w:t>
      </w:r>
    </w:p>
    <w:p w14:paraId="07F4013A">
      <w:pPr>
        <w:spacing w:line="480" w:lineRule="exact"/>
        <w:ind w:firstLine="560" w:firstLineChars="200"/>
        <w:rPr>
          <w:rFonts w:ascii="仿宋" w:hAnsi="仿宋" w:eastAsia="仿宋" w:cs="仿宋"/>
          <w:sz w:val="28"/>
        </w:rPr>
      </w:pPr>
      <w:r>
        <w:rPr>
          <w:rFonts w:hint="eastAsia" w:ascii="仿宋" w:hAnsi="仿宋" w:eastAsia="仿宋" w:cs="仿宋"/>
          <w:sz w:val="28"/>
        </w:rPr>
        <w:t>2.上述免费改造范围包括但不仅限于机器、部件、元件或零件以及易耗材料（包括但不限于枪头、枪线、显示屏等）进行修理或更换。</w:t>
      </w:r>
    </w:p>
    <w:p w14:paraId="6A35059F">
      <w:pPr>
        <w:spacing w:line="480" w:lineRule="exact"/>
        <w:ind w:firstLine="560" w:firstLineChars="200"/>
        <w:rPr>
          <w:rFonts w:ascii="仿宋" w:hAnsi="仿宋" w:eastAsia="仿宋" w:cs="仿宋"/>
          <w:sz w:val="28"/>
        </w:rPr>
      </w:pPr>
      <w:r>
        <w:rPr>
          <w:rFonts w:hint="eastAsia" w:ascii="仿宋" w:hAnsi="仿宋" w:eastAsia="仿宋" w:cs="仿宋"/>
          <w:sz w:val="28"/>
        </w:rPr>
        <w:t>3.若因人为原因、正常使用磨损、超过质量保证期、不可抗力等原因造成合同充电堆设备故障的，接到甲方通知后乙方</w:t>
      </w:r>
      <w:r>
        <w:rPr>
          <w:rFonts w:hint="eastAsia" w:ascii="仿宋" w:hAnsi="仿宋" w:eastAsia="仿宋" w:cs="仿宋"/>
          <w:sz w:val="28"/>
          <w:u w:val="single"/>
        </w:rPr>
        <w:t>2小时</w:t>
      </w:r>
      <w:r>
        <w:rPr>
          <w:rFonts w:hint="eastAsia" w:ascii="仿宋" w:hAnsi="仿宋" w:eastAsia="仿宋" w:cs="仿宋"/>
          <w:sz w:val="28"/>
        </w:rPr>
        <w:t>内指派专业人员进行有偿维修，24小时内完成维修工作。维修费用由乙方按市场价80%收取。</w:t>
      </w:r>
    </w:p>
    <w:p w14:paraId="2E721B08">
      <w:pPr>
        <w:spacing w:line="48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七、双方的权利与义务</w:t>
      </w:r>
    </w:p>
    <w:p w14:paraId="7670A8E6">
      <w:pPr>
        <w:spacing w:line="480" w:lineRule="exact"/>
        <w:ind w:firstLine="560" w:firstLineChars="200"/>
        <w:rPr>
          <w:rFonts w:ascii="仿宋" w:hAnsi="仿宋" w:eastAsia="仿宋" w:cs="仿宋"/>
          <w:sz w:val="28"/>
        </w:rPr>
      </w:pPr>
      <w:r>
        <w:rPr>
          <w:rFonts w:hint="eastAsia" w:ascii="仿宋" w:hAnsi="仿宋" w:eastAsia="仿宋" w:cs="仿宋"/>
          <w:sz w:val="28"/>
        </w:rPr>
        <w:t>1.甲方的权利与义务</w:t>
      </w:r>
    </w:p>
    <w:p w14:paraId="7A92609D">
      <w:pPr>
        <w:spacing w:line="480" w:lineRule="exact"/>
        <w:ind w:firstLine="560" w:firstLineChars="200"/>
        <w:rPr>
          <w:rFonts w:ascii="仿宋" w:hAnsi="仿宋" w:eastAsia="仿宋" w:cs="仿宋"/>
          <w:sz w:val="28"/>
        </w:rPr>
      </w:pPr>
      <w:r>
        <w:rPr>
          <w:rFonts w:hint="eastAsia" w:ascii="仿宋" w:hAnsi="仿宋" w:eastAsia="仿宋" w:cs="仿宋"/>
          <w:sz w:val="28"/>
        </w:rPr>
        <w:t>（1）甲方有权随时监督乙方对合同充电堆设备出货、运输、调试、接入运营平台、试运行、计量检定等情况，并提出合理的建议。</w:t>
      </w:r>
    </w:p>
    <w:p w14:paraId="09A1F77D">
      <w:pPr>
        <w:spacing w:line="480" w:lineRule="exact"/>
        <w:ind w:firstLine="560" w:firstLineChars="200"/>
        <w:rPr>
          <w:rFonts w:ascii="仿宋" w:hAnsi="仿宋" w:eastAsia="仿宋" w:cs="仿宋"/>
          <w:sz w:val="28"/>
        </w:rPr>
      </w:pPr>
      <w:r>
        <w:rPr>
          <w:rFonts w:hint="eastAsia" w:ascii="仿宋" w:hAnsi="仿宋" w:eastAsia="仿宋" w:cs="仿宋"/>
          <w:sz w:val="28"/>
        </w:rPr>
        <w:t>（2）甲方有权在合同充电堆设备不符合质量标准、合同约定的情况下向乙方要求免费更换或退货。</w:t>
      </w:r>
    </w:p>
    <w:p w14:paraId="5BD6B42D">
      <w:pPr>
        <w:spacing w:line="480" w:lineRule="exact"/>
        <w:ind w:firstLine="560" w:firstLineChars="200"/>
        <w:rPr>
          <w:rFonts w:ascii="仿宋" w:hAnsi="仿宋" w:eastAsia="仿宋" w:cs="仿宋"/>
          <w:sz w:val="28"/>
        </w:rPr>
      </w:pPr>
      <w:r>
        <w:rPr>
          <w:rFonts w:hint="eastAsia" w:ascii="仿宋" w:hAnsi="仿宋" w:eastAsia="仿宋" w:cs="仿宋"/>
          <w:sz w:val="28"/>
        </w:rPr>
        <w:t>（3）甲方应按时、足额支付充电堆设备款。</w:t>
      </w:r>
    </w:p>
    <w:p w14:paraId="38650E71">
      <w:pPr>
        <w:spacing w:line="480" w:lineRule="exact"/>
        <w:ind w:firstLine="560" w:firstLineChars="200"/>
        <w:rPr>
          <w:rFonts w:ascii="仿宋" w:hAnsi="仿宋" w:eastAsia="仿宋" w:cs="仿宋"/>
          <w:sz w:val="28"/>
        </w:rPr>
      </w:pPr>
      <w:r>
        <w:rPr>
          <w:rFonts w:hint="eastAsia" w:ascii="仿宋" w:hAnsi="仿宋" w:eastAsia="仿宋" w:cs="仿宋"/>
          <w:sz w:val="28"/>
        </w:rPr>
        <w:t>（4）若甲方在合同生效后要求变更合同充电堆设备的品种、规格、质量或包装规格，应支付乙方因变更部分所产生的费用（包括但不仅限于合同充电堆设备差价、运输费用、人力费用等）。</w:t>
      </w:r>
    </w:p>
    <w:p w14:paraId="0729FF69">
      <w:pPr>
        <w:spacing w:line="480" w:lineRule="exact"/>
        <w:ind w:firstLine="560" w:firstLineChars="200"/>
        <w:rPr>
          <w:rFonts w:ascii="仿宋" w:hAnsi="仿宋" w:eastAsia="仿宋" w:cs="仿宋"/>
          <w:sz w:val="28"/>
        </w:rPr>
      </w:pPr>
      <w:r>
        <w:rPr>
          <w:rFonts w:hint="eastAsia" w:ascii="仿宋" w:hAnsi="仿宋" w:eastAsia="仿宋" w:cs="仿宋"/>
          <w:sz w:val="28"/>
        </w:rPr>
        <w:t>（5）若甲方在合同生效后要求退回合同充电堆设备，由甲乙双方协商解决。</w:t>
      </w:r>
    </w:p>
    <w:p w14:paraId="689BD6CF">
      <w:pPr>
        <w:spacing w:line="480" w:lineRule="exact"/>
        <w:ind w:firstLine="560" w:firstLineChars="200"/>
        <w:rPr>
          <w:rFonts w:ascii="仿宋" w:hAnsi="仿宋" w:eastAsia="仿宋" w:cs="仿宋"/>
          <w:sz w:val="28"/>
        </w:rPr>
      </w:pPr>
      <w:r>
        <w:rPr>
          <w:rFonts w:hint="eastAsia" w:ascii="仿宋" w:hAnsi="仿宋" w:eastAsia="仿宋" w:cs="仿宋"/>
          <w:sz w:val="28"/>
        </w:rPr>
        <w:t>（6）甲方接收、放置、安装、使用合同充电堆设备，应按规范流程进行操作。</w:t>
      </w:r>
    </w:p>
    <w:p w14:paraId="1080F896">
      <w:pPr>
        <w:spacing w:line="480" w:lineRule="exact"/>
        <w:ind w:firstLine="560" w:firstLineChars="200"/>
        <w:rPr>
          <w:rFonts w:ascii="仿宋" w:hAnsi="仿宋" w:eastAsia="仿宋" w:cs="仿宋"/>
          <w:sz w:val="28"/>
        </w:rPr>
      </w:pPr>
      <w:r>
        <w:rPr>
          <w:rFonts w:hint="eastAsia" w:ascii="仿宋" w:hAnsi="仿宋" w:eastAsia="仿宋" w:cs="仿宋"/>
          <w:sz w:val="28"/>
        </w:rPr>
        <w:t>（7）甲方按合同充电堆设备的保养手册要求对设备进行定期保养，以延长设备的使用寿命，提高设备使用价值。</w:t>
      </w:r>
    </w:p>
    <w:p w14:paraId="2F355578">
      <w:pPr>
        <w:spacing w:line="480" w:lineRule="exact"/>
        <w:ind w:firstLine="560" w:firstLineChars="200"/>
        <w:rPr>
          <w:rFonts w:ascii="仿宋" w:hAnsi="仿宋" w:eastAsia="仿宋" w:cs="仿宋"/>
          <w:sz w:val="28"/>
        </w:rPr>
      </w:pPr>
      <w:r>
        <w:rPr>
          <w:rFonts w:hint="eastAsia" w:ascii="仿宋" w:hAnsi="仿宋" w:eastAsia="仿宋" w:cs="仿宋"/>
          <w:sz w:val="28"/>
        </w:rPr>
        <w:t>2.乙方的权利与义务</w:t>
      </w:r>
    </w:p>
    <w:p w14:paraId="66F69E3F">
      <w:pPr>
        <w:spacing w:line="480" w:lineRule="exact"/>
        <w:ind w:firstLine="560" w:firstLineChars="200"/>
        <w:rPr>
          <w:rFonts w:ascii="仿宋" w:hAnsi="仿宋" w:eastAsia="仿宋" w:cs="仿宋"/>
          <w:sz w:val="28"/>
        </w:rPr>
      </w:pPr>
      <w:r>
        <w:rPr>
          <w:rFonts w:hint="eastAsia" w:ascii="仿宋" w:hAnsi="仿宋" w:eastAsia="仿宋" w:cs="仿宋"/>
          <w:sz w:val="28"/>
        </w:rPr>
        <w:t>（1）乙方保证合同充电堆设备符合国家标准，行业标准及出厂检验合格标准，保证为原厂设备。</w:t>
      </w:r>
    </w:p>
    <w:p w14:paraId="53E236DF">
      <w:pPr>
        <w:spacing w:line="480" w:lineRule="exact"/>
        <w:ind w:firstLine="560" w:firstLineChars="200"/>
        <w:rPr>
          <w:rFonts w:ascii="仿宋" w:hAnsi="仿宋" w:eastAsia="仿宋" w:cs="仿宋"/>
          <w:sz w:val="28"/>
        </w:rPr>
      </w:pPr>
      <w:r>
        <w:rPr>
          <w:rFonts w:hint="eastAsia" w:ascii="仿宋" w:hAnsi="仿宋" w:eastAsia="仿宋" w:cs="仿宋"/>
          <w:sz w:val="28"/>
        </w:rPr>
        <w:t>（2）乙方应保证合同充电堆设备的品种、规格、质量、技术要求符合本合同约定</w:t>
      </w:r>
      <w:r>
        <w:rPr>
          <w:rFonts w:hint="eastAsia" w:ascii="仿宋" w:hAnsi="仿宋" w:eastAsia="仿宋" w:cs="仿宋"/>
          <w:sz w:val="28"/>
          <w:lang w:val="en-US" w:eastAsia="zh-CN"/>
        </w:rPr>
        <w:t>和比选文件中的设备标准和要求</w:t>
      </w:r>
      <w:r>
        <w:rPr>
          <w:rFonts w:hint="eastAsia" w:ascii="仿宋" w:hAnsi="仿宋" w:eastAsia="仿宋" w:cs="仿宋"/>
          <w:sz w:val="28"/>
        </w:rPr>
        <w:t>。</w:t>
      </w:r>
    </w:p>
    <w:p w14:paraId="6AD7CA0C">
      <w:pPr>
        <w:spacing w:line="480" w:lineRule="exact"/>
        <w:ind w:firstLine="560" w:firstLineChars="200"/>
        <w:rPr>
          <w:rFonts w:ascii="仿宋" w:hAnsi="仿宋" w:eastAsia="仿宋" w:cs="仿宋"/>
          <w:sz w:val="28"/>
        </w:rPr>
      </w:pPr>
      <w:r>
        <w:rPr>
          <w:rFonts w:hint="eastAsia" w:ascii="仿宋" w:hAnsi="仿宋" w:eastAsia="仿宋" w:cs="仿宋"/>
          <w:sz w:val="28"/>
        </w:rPr>
        <w:t>（3）合同有效期内，乙方应保证按本合同的约定价格供应充电堆。</w:t>
      </w:r>
    </w:p>
    <w:p w14:paraId="5DD7D37C">
      <w:pPr>
        <w:spacing w:line="480" w:lineRule="exact"/>
        <w:ind w:firstLine="560" w:firstLineChars="200"/>
        <w:rPr>
          <w:rFonts w:ascii="仿宋" w:hAnsi="仿宋" w:eastAsia="仿宋" w:cs="仿宋"/>
          <w:sz w:val="28"/>
        </w:rPr>
      </w:pPr>
      <w:r>
        <w:rPr>
          <w:rFonts w:hint="eastAsia" w:ascii="仿宋" w:hAnsi="仿宋" w:eastAsia="仿宋" w:cs="仿宋"/>
          <w:sz w:val="28"/>
        </w:rPr>
        <w:t>（4）乙方应按本合同的约定按时向甲方提供合同充电堆设备，并承担其相应的运输费用及运输过程中设备毁损灭失的风险。</w:t>
      </w:r>
    </w:p>
    <w:p w14:paraId="0BDD3B21">
      <w:pPr>
        <w:spacing w:line="480" w:lineRule="exact"/>
        <w:ind w:firstLine="560" w:firstLineChars="200"/>
        <w:rPr>
          <w:rFonts w:ascii="仿宋" w:hAnsi="仿宋" w:eastAsia="仿宋" w:cs="仿宋"/>
          <w:sz w:val="28"/>
        </w:rPr>
      </w:pPr>
      <w:r>
        <w:rPr>
          <w:rFonts w:hint="eastAsia" w:ascii="仿宋" w:hAnsi="仿宋" w:eastAsia="仿宋" w:cs="仿宋"/>
          <w:sz w:val="28"/>
        </w:rPr>
        <w:t>（5）乙方应按本合同的约定提供充电设备包装、运输、调试、接入运营平台、试运行、计量检定、指导、售后等项目的服务。</w:t>
      </w:r>
    </w:p>
    <w:p w14:paraId="6F510EDB">
      <w:pPr>
        <w:spacing w:line="480" w:lineRule="exact"/>
        <w:ind w:firstLine="560" w:firstLineChars="200"/>
        <w:rPr>
          <w:rFonts w:ascii="仿宋" w:hAnsi="仿宋" w:eastAsia="仿宋" w:cs="仿宋"/>
          <w:sz w:val="28"/>
        </w:rPr>
      </w:pPr>
      <w:r>
        <w:rPr>
          <w:rFonts w:hint="eastAsia" w:ascii="仿宋" w:hAnsi="仿宋" w:eastAsia="仿宋" w:cs="仿宋"/>
          <w:sz w:val="28"/>
        </w:rPr>
        <w:t>（6）若因质量原因造成甲方要求更换、退回部分或全部合同充电堆设备的，乙方无条件同意更换或退回，且产生的费用由乙方承担，若因此给甲方造成损失的，乙方应予以赔偿。</w:t>
      </w:r>
    </w:p>
    <w:p w14:paraId="3F130AE7">
      <w:pPr>
        <w:spacing w:line="480" w:lineRule="exact"/>
        <w:ind w:firstLine="560" w:firstLineChars="200"/>
        <w:rPr>
          <w:rFonts w:ascii="仿宋" w:hAnsi="仿宋" w:eastAsia="仿宋" w:cs="仿宋"/>
          <w:sz w:val="28"/>
        </w:rPr>
      </w:pPr>
      <w:r>
        <w:rPr>
          <w:rFonts w:hint="eastAsia" w:ascii="仿宋" w:hAnsi="仿宋" w:eastAsia="仿宋" w:cs="仿宋"/>
          <w:sz w:val="28"/>
        </w:rPr>
        <w:t>（7）乙方应向甲方提交设备使用说明书、保养手册、故障解决等文字资料。</w:t>
      </w:r>
    </w:p>
    <w:p w14:paraId="76C1CE2A">
      <w:pPr>
        <w:spacing w:line="480" w:lineRule="exact"/>
        <w:ind w:firstLine="560" w:firstLineChars="200"/>
        <w:rPr>
          <w:rFonts w:ascii="仿宋" w:hAnsi="仿宋" w:eastAsia="仿宋" w:cs="仿宋"/>
          <w:sz w:val="28"/>
        </w:rPr>
      </w:pPr>
      <w:r>
        <w:rPr>
          <w:rFonts w:hint="eastAsia" w:ascii="仿宋" w:hAnsi="仿宋" w:eastAsia="仿宋" w:cs="仿宋"/>
          <w:sz w:val="28"/>
        </w:rPr>
        <w:t>（8）乙方应对甲方相关人员进行设备使用、保养、故障解决等指导培训。</w:t>
      </w:r>
    </w:p>
    <w:p w14:paraId="164EC7FD">
      <w:pPr>
        <w:spacing w:line="480" w:lineRule="exact"/>
        <w:ind w:firstLine="560" w:firstLineChars="200"/>
        <w:rPr>
          <w:rFonts w:ascii="仿宋" w:hAnsi="仿宋" w:eastAsia="仿宋" w:cs="仿宋"/>
          <w:sz w:val="28"/>
        </w:rPr>
      </w:pPr>
      <w:r>
        <w:rPr>
          <w:rFonts w:hint="eastAsia" w:ascii="仿宋" w:hAnsi="仿宋" w:eastAsia="仿宋" w:cs="仿宋"/>
          <w:sz w:val="28"/>
        </w:rPr>
        <w:t>（9）乙方在质保期内须在全年法定节假日前对所售设备开展巡查，每季度至少开展一次专项检查，及时处理问题隐患。为甲方提供检测报告及处理情况报告。乙方开展巡查检查工作应邀请甲方参与。</w:t>
      </w:r>
    </w:p>
    <w:p w14:paraId="200F48C9">
      <w:pPr>
        <w:spacing w:line="480" w:lineRule="exact"/>
        <w:ind w:firstLine="560" w:firstLineChars="200"/>
        <w:rPr>
          <w:rFonts w:ascii="仿宋" w:hAnsi="仿宋" w:eastAsia="仿宋" w:cs="仿宋"/>
          <w:sz w:val="28"/>
        </w:rPr>
      </w:pPr>
      <w:r>
        <w:rPr>
          <w:rFonts w:hint="eastAsia" w:ascii="仿宋" w:hAnsi="仿宋" w:eastAsia="仿宋" w:cs="仿宋"/>
          <w:sz w:val="28"/>
        </w:rPr>
        <w:t>（10）乙方承担实施过程中的全部安全责任。</w:t>
      </w:r>
    </w:p>
    <w:p w14:paraId="1A965EF0">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八、保密</w:t>
      </w:r>
    </w:p>
    <w:p w14:paraId="0D3140A6">
      <w:pPr>
        <w:widowControl/>
        <w:spacing w:line="480" w:lineRule="exact"/>
        <w:ind w:firstLine="560" w:firstLineChars="200"/>
        <w:rPr>
          <w:rFonts w:ascii="仿宋" w:hAnsi="仿宋" w:eastAsia="仿宋" w:cs="仿宋"/>
          <w:sz w:val="28"/>
        </w:rPr>
      </w:pPr>
      <w:r>
        <w:rPr>
          <w:rFonts w:hint="eastAsia" w:ascii="仿宋" w:hAnsi="仿宋" w:eastAsia="仿宋" w:cs="仿宋"/>
          <w:sz w:val="28"/>
        </w:rPr>
        <w:t>乙方及其工作人员及关联合作方在对工作中接触、了解到的有关甲方生产、经营、管理、技术和对外联系活动中的资料、数据、商业秘密等，负有保守秘密的责任。如因乙方、乙方工作人员或乙方关联合作方原因导致甲方资料、数据、商业秘密等泄漏造成损失的，乙方承担全部赔偿责任。</w:t>
      </w:r>
    </w:p>
    <w:p w14:paraId="50414679">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九、违约责任</w:t>
      </w:r>
    </w:p>
    <w:p w14:paraId="663238AB">
      <w:pPr>
        <w:widowControl/>
        <w:spacing w:line="480" w:lineRule="exact"/>
        <w:ind w:firstLine="560" w:firstLineChars="200"/>
        <w:rPr>
          <w:rFonts w:ascii="仿宋" w:hAnsi="仿宋" w:eastAsia="仿宋" w:cs="仿宋"/>
          <w:sz w:val="28"/>
        </w:rPr>
      </w:pPr>
      <w:r>
        <w:rPr>
          <w:rFonts w:hint="eastAsia" w:ascii="仿宋" w:hAnsi="仿宋" w:eastAsia="仿宋" w:cs="仿宋"/>
          <w:sz w:val="28"/>
        </w:rPr>
        <w:t>1.若乙方未按合同约定时间完成设备运输、调试、接入运营平台、计量检定、试运行等，每逾期一天，乙方应偿付甲方货款总额1%的违约金；逾期超过5天，甲方有权单方解除本合同，乙方应向甲方支付货款总额10%的违约金，甲方可从乙方当期货款中直接扣除违约金，违约金不足以弥补甲方损失的，乙方应予以补足。</w:t>
      </w:r>
    </w:p>
    <w:p w14:paraId="6AC4D3DD">
      <w:pPr>
        <w:widowControl/>
        <w:spacing w:line="480" w:lineRule="exact"/>
        <w:ind w:firstLine="560" w:firstLineChars="200"/>
        <w:rPr>
          <w:rFonts w:ascii="仿宋" w:hAnsi="仿宋" w:eastAsia="仿宋" w:cs="仿宋"/>
          <w:sz w:val="28"/>
        </w:rPr>
      </w:pPr>
      <w:r>
        <w:rPr>
          <w:rFonts w:hint="eastAsia" w:ascii="仿宋" w:hAnsi="仿宋" w:eastAsia="仿宋" w:cs="仿宋"/>
          <w:sz w:val="28"/>
        </w:rPr>
        <w:t>2.甲乙双方应全面履行切实履行各自义务，否则视为违约，若因一方违约行为造成对方或第三方损失的，该方应对对方或第三方损失进行赔偿，赔偿范围包括但不限于对方因此受到的损失、罚款、向第三方支付的赔偿金、诉讼费及律师费等。</w:t>
      </w:r>
    </w:p>
    <w:p w14:paraId="3754E1A5">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十、争议解决</w:t>
      </w:r>
    </w:p>
    <w:p w14:paraId="65FA2D70">
      <w:pPr>
        <w:spacing w:line="460" w:lineRule="exact"/>
        <w:ind w:firstLine="560" w:firstLineChars="200"/>
        <w:rPr>
          <w:rFonts w:ascii="仿宋" w:hAnsi="仿宋" w:eastAsia="仿宋" w:cs="仿宋"/>
          <w:sz w:val="28"/>
        </w:rPr>
      </w:pPr>
      <w:r>
        <w:rPr>
          <w:rFonts w:hint="eastAsia" w:ascii="仿宋" w:hAnsi="仿宋" w:eastAsia="仿宋" w:cs="仿宋"/>
          <w:sz w:val="28"/>
        </w:rPr>
        <w:t>本合同在履行过程中如果发生争议，双方应协商解决；协商不成的，双方均可向甲方所在地法院起诉。</w:t>
      </w:r>
    </w:p>
    <w:p w14:paraId="175A218A">
      <w:pPr>
        <w:spacing w:line="46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十一、附则</w:t>
      </w:r>
    </w:p>
    <w:p w14:paraId="3390E429">
      <w:pPr>
        <w:spacing w:line="460" w:lineRule="exact"/>
        <w:ind w:firstLine="560" w:firstLineChars="200"/>
        <w:rPr>
          <w:rFonts w:ascii="仿宋" w:hAnsi="仿宋" w:eastAsia="仿宋" w:cs="仿宋"/>
          <w:sz w:val="28"/>
        </w:rPr>
      </w:pPr>
      <w:r>
        <w:rPr>
          <w:rFonts w:hint="eastAsia" w:ascii="仿宋" w:hAnsi="仿宋" w:eastAsia="仿宋" w:cs="仿宋"/>
          <w:sz w:val="28"/>
        </w:rPr>
        <w:t>1.本合同履行过程中，若合同充电堆设备价款等内容有所变更，必须经甲、乙双方协商后另行约定并签订补充协议。</w:t>
      </w:r>
    </w:p>
    <w:p w14:paraId="53F3A2DC">
      <w:pPr>
        <w:spacing w:line="460" w:lineRule="exact"/>
        <w:ind w:firstLine="560" w:firstLineChars="200"/>
        <w:rPr>
          <w:rFonts w:ascii="仿宋" w:hAnsi="仿宋" w:eastAsia="仿宋" w:cs="仿宋"/>
          <w:sz w:val="28"/>
        </w:rPr>
      </w:pPr>
      <w:r>
        <w:rPr>
          <w:rFonts w:hint="eastAsia" w:ascii="仿宋" w:hAnsi="仿宋" w:eastAsia="仿宋" w:cs="仿宋"/>
          <w:sz w:val="28"/>
        </w:rPr>
        <w:t>2.本合同在履行期间，如有未尽事宜，须经甲、乙双方协商并签订补充协议。</w:t>
      </w:r>
    </w:p>
    <w:p w14:paraId="76E3FDDD">
      <w:pPr>
        <w:spacing w:line="460" w:lineRule="exact"/>
        <w:ind w:firstLine="560" w:firstLineChars="200"/>
        <w:rPr>
          <w:rFonts w:ascii="仿宋" w:hAnsi="仿宋" w:eastAsia="仿宋" w:cs="仿宋"/>
          <w:sz w:val="28"/>
        </w:rPr>
      </w:pPr>
      <w:r>
        <w:rPr>
          <w:rFonts w:hint="eastAsia" w:ascii="仿宋" w:hAnsi="仿宋" w:eastAsia="仿宋" w:cs="仿宋"/>
          <w:sz w:val="28"/>
        </w:rPr>
        <w:t>3.本合同以及相关补充协议须经双方法定代表人或其委托代理人签字并加盖公章后生效，相关补充协议与本合同具有同等法律效力。</w:t>
      </w:r>
    </w:p>
    <w:p w14:paraId="07F19A39">
      <w:pPr>
        <w:spacing w:line="480" w:lineRule="exact"/>
        <w:ind w:firstLine="560" w:firstLineChars="200"/>
        <w:rPr>
          <w:rFonts w:ascii="仿宋" w:hAnsi="仿宋" w:eastAsia="仿宋" w:cs="仿宋"/>
          <w:sz w:val="28"/>
        </w:rPr>
      </w:pPr>
      <w:r>
        <w:rPr>
          <w:rFonts w:hint="eastAsia" w:ascii="仿宋" w:hAnsi="仿宋" w:eastAsia="仿宋" w:cs="仿宋"/>
          <w:sz w:val="28"/>
        </w:rPr>
        <w:t>4.本合同一式</w:t>
      </w:r>
      <w:r>
        <w:rPr>
          <w:rFonts w:hint="eastAsia" w:ascii="仿宋" w:hAnsi="仿宋" w:eastAsia="仿宋" w:cs="仿宋"/>
          <w:sz w:val="28"/>
          <w:lang w:val="en-US" w:eastAsia="zh-CN"/>
        </w:rPr>
        <w:t>柒</w:t>
      </w:r>
      <w:r>
        <w:rPr>
          <w:rFonts w:hint="eastAsia" w:ascii="仿宋" w:hAnsi="仿宋" w:eastAsia="仿宋" w:cs="仿宋"/>
          <w:sz w:val="28"/>
        </w:rPr>
        <w:t>份，甲方持</w:t>
      </w:r>
      <w:r>
        <w:rPr>
          <w:rFonts w:hint="eastAsia" w:ascii="仿宋" w:hAnsi="仿宋" w:eastAsia="仿宋" w:cs="仿宋"/>
          <w:sz w:val="28"/>
          <w:lang w:val="en-US" w:eastAsia="zh-CN"/>
        </w:rPr>
        <w:t>伍</w:t>
      </w:r>
      <w:r>
        <w:rPr>
          <w:rFonts w:hint="eastAsia" w:ascii="仿宋" w:hAnsi="仿宋" w:eastAsia="仿宋" w:cs="仿宋"/>
          <w:sz w:val="28"/>
        </w:rPr>
        <w:t>份，乙方持贰份。具有同等法律效力。</w:t>
      </w:r>
    </w:p>
    <w:p w14:paraId="7006B404">
      <w:pPr>
        <w:pStyle w:val="42"/>
        <w:spacing w:line="480" w:lineRule="exact"/>
        <w:ind w:firstLine="560"/>
        <w:rPr>
          <w:rFonts w:ascii="仿宋" w:hAnsi="仿宋" w:eastAsia="仿宋" w:cs="仿宋"/>
        </w:rPr>
      </w:pPr>
      <w:r>
        <w:rPr>
          <w:rFonts w:hint="eastAsia" w:ascii="仿宋" w:hAnsi="仿宋" w:eastAsia="仿宋" w:cs="仿宋"/>
          <w:i w:val="0"/>
          <w:color w:val="auto"/>
          <w:sz w:val="28"/>
        </w:rPr>
        <w:t>附件1：《廉政合同》</w:t>
      </w:r>
    </w:p>
    <w:p w14:paraId="536CF10A"/>
    <w:p w14:paraId="6204155F">
      <w:pPr>
        <w:spacing w:line="460" w:lineRule="exact"/>
        <w:ind w:firstLine="560" w:firstLineChars="200"/>
        <w:rPr>
          <w:rFonts w:ascii="仿宋" w:hAnsi="仿宋" w:eastAsia="仿宋" w:cs="仿宋"/>
          <w:sz w:val="28"/>
        </w:rPr>
      </w:pPr>
    </w:p>
    <w:p w14:paraId="6E7B7196">
      <w:pPr>
        <w:topLinePunct/>
        <w:autoSpaceDE w:val="0"/>
        <w:spacing w:line="320" w:lineRule="exact"/>
        <w:rPr>
          <w:rFonts w:hint="default" w:ascii="仿宋" w:hAnsi="仿宋" w:eastAsia="仿宋" w:cs="仿宋"/>
          <w:sz w:val="28"/>
          <w:lang w:val="en-US" w:eastAsia="zh-CN"/>
        </w:rPr>
      </w:pPr>
      <w:r>
        <w:rPr>
          <w:rFonts w:hint="eastAsia" w:ascii="仿宋" w:hAnsi="仿宋" w:eastAsia="仿宋" w:cs="仿宋"/>
          <w:sz w:val="28"/>
        </w:rPr>
        <w:t xml:space="preserve">甲方： </w:t>
      </w:r>
      <w:r>
        <w:rPr>
          <w:rFonts w:hint="eastAsia" w:ascii="仿宋" w:hAnsi="仿宋" w:eastAsia="仿宋" w:cs="仿宋"/>
          <w:sz w:val="28"/>
          <w:lang w:val="en-US" w:eastAsia="zh-CN"/>
        </w:rPr>
        <w:t>四川蜀道新能源科技</w:t>
      </w:r>
      <w:r>
        <w:rPr>
          <w:rFonts w:hint="eastAsia" w:ascii="仿宋" w:hAnsi="仿宋" w:eastAsia="仿宋" w:cs="仿宋"/>
          <w:sz w:val="28"/>
        </w:rPr>
        <w:t xml:space="preserve">       乙方：</w:t>
      </w:r>
      <w:r>
        <w:rPr>
          <w:rFonts w:hint="eastAsia" w:ascii="仿宋" w:hAnsi="仿宋" w:eastAsia="仿宋" w:cs="仿宋"/>
          <w:sz w:val="28"/>
          <w:u w:val="single"/>
          <w:lang w:bidi="zh-TW"/>
        </w:rPr>
        <w:t xml:space="preserve"> </w:t>
      </w:r>
      <w:r>
        <w:rPr>
          <w:rFonts w:hint="eastAsia" w:ascii="仿宋" w:hAnsi="仿宋" w:eastAsia="仿宋" w:cs="仿宋"/>
          <w:sz w:val="28"/>
          <w:u w:val="single"/>
          <w:lang w:val="en-US" w:eastAsia="zh-CN" w:bidi="zh-TW"/>
        </w:rPr>
        <w:t xml:space="preserve">                  </w:t>
      </w:r>
    </w:p>
    <w:p w14:paraId="44EDD16B">
      <w:pPr>
        <w:widowControl/>
        <w:spacing w:line="460" w:lineRule="exact"/>
        <w:rPr>
          <w:rFonts w:ascii="仿宋" w:hAnsi="仿宋" w:eastAsia="仿宋" w:cs="仿宋"/>
          <w:sz w:val="28"/>
        </w:rPr>
      </w:pPr>
      <w:r>
        <w:rPr>
          <w:rFonts w:hint="eastAsia" w:ascii="仿宋" w:hAnsi="仿宋" w:eastAsia="仿宋" w:cs="仿宋"/>
          <w:sz w:val="28"/>
          <w:u w:val="single"/>
        </w:rPr>
        <w:t>发展</w:t>
      </w:r>
      <w:r>
        <w:rPr>
          <w:rFonts w:hint="eastAsia" w:ascii="仿宋" w:hAnsi="仿宋" w:eastAsia="仿宋" w:cs="仿宋"/>
          <w:sz w:val="28"/>
          <w:u w:val="single"/>
          <w:lang w:val="en-US" w:eastAsia="zh-CN"/>
        </w:rPr>
        <w:t>有限公司</w:t>
      </w:r>
      <w:r>
        <w:rPr>
          <w:rFonts w:hint="eastAsia" w:ascii="仿宋" w:hAnsi="仿宋" w:eastAsia="仿宋" w:cs="仿宋"/>
          <w:sz w:val="28"/>
          <w:u w:val="single"/>
          <w:lang w:bidi="zh-TW"/>
        </w:rPr>
        <w:t>（盖章）</w:t>
      </w:r>
      <w:r>
        <w:rPr>
          <w:rFonts w:hint="eastAsia" w:ascii="仿宋" w:hAnsi="仿宋" w:eastAsia="仿宋" w:cs="仿宋"/>
          <w:sz w:val="28"/>
        </w:rPr>
        <w:t xml:space="preserve">        </w:t>
      </w:r>
      <w:r>
        <w:rPr>
          <w:rFonts w:hint="eastAsia" w:ascii="仿宋" w:hAnsi="仿宋" w:eastAsia="仿宋" w:cs="仿宋"/>
          <w:sz w:val="28"/>
          <w:lang w:val="en-US" w:eastAsia="zh-CN"/>
        </w:rPr>
        <w:t xml:space="preserve">      </w:t>
      </w:r>
      <w:r>
        <w:rPr>
          <w:rFonts w:hint="eastAsia" w:ascii="仿宋" w:hAnsi="仿宋" w:eastAsia="仿宋" w:cs="仿宋"/>
          <w:sz w:val="28"/>
        </w:rPr>
        <w:t xml:space="preserve"> </w:t>
      </w:r>
      <w:r>
        <w:rPr>
          <w:rFonts w:hint="eastAsia" w:ascii="仿宋" w:hAnsi="仿宋" w:eastAsia="仿宋" w:cs="仿宋"/>
          <w:sz w:val="28"/>
          <w:u w:val="single"/>
          <w:lang w:bidi="zh-TW"/>
        </w:rPr>
        <w:t xml:space="preserve">（盖章）  </w:t>
      </w:r>
    </w:p>
    <w:p w14:paraId="05C164AD">
      <w:pPr>
        <w:widowControl/>
        <w:spacing w:line="460" w:lineRule="exact"/>
        <w:ind w:firstLine="560" w:firstLineChars="200"/>
        <w:rPr>
          <w:rFonts w:ascii="仿宋" w:hAnsi="仿宋" w:eastAsia="仿宋" w:cs="仿宋"/>
          <w:sz w:val="28"/>
        </w:rPr>
      </w:pPr>
      <w:r>
        <w:rPr>
          <w:rFonts w:hint="eastAsia" w:ascii="仿宋" w:hAnsi="仿宋" w:eastAsia="仿宋" w:cs="仿宋"/>
          <w:sz w:val="28"/>
        </w:rPr>
        <w:t xml:space="preserve"> </w:t>
      </w:r>
      <w:r>
        <w:rPr>
          <w:rFonts w:hint="eastAsia" w:ascii="仿宋" w:hAnsi="仿宋" w:eastAsia="仿宋" w:cs="仿宋"/>
          <w:sz w:val="28"/>
          <w:lang w:bidi="zh-TW"/>
        </w:rPr>
        <w:t xml:space="preserve">         </w:t>
      </w:r>
    </w:p>
    <w:p w14:paraId="7C3DD502">
      <w:pPr>
        <w:spacing w:line="460" w:lineRule="exact"/>
        <w:rPr>
          <w:rFonts w:ascii="仿宋" w:hAnsi="仿宋" w:eastAsia="仿宋" w:cs="仿宋"/>
          <w:sz w:val="28"/>
          <w:lang w:bidi="zh-TW"/>
        </w:rPr>
      </w:pPr>
      <w:r>
        <w:rPr>
          <w:rFonts w:hint="eastAsia" w:ascii="仿宋" w:hAnsi="仿宋" w:eastAsia="仿宋" w:cs="仿宋"/>
          <w:sz w:val="28"/>
          <w:lang w:bidi="zh-TW"/>
        </w:rPr>
        <w:t>法定代表人或                        法定代表人或</w:t>
      </w:r>
    </w:p>
    <w:p w14:paraId="0F42FE35">
      <w:pPr>
        <w:widowControl/>
        <w:spacing w:line="460" w:lineRule="exact"/>
        <w:rPr>
          <w:rFonts w:ascii="仿宋" w:hAnsi="仿宋" w:eastAsia="仿宋" w:cs="仿宋"/>
          <w:sz w:val="28"/>
        </w:rPr>
      </w:pPr>
      <w:r>
        <w:rPr>
          <w:rFonts w:hint="eastAsia" w:ascii="仿宋" w:hAnsi="仿宋" w:eastAsia="仿宋" w:cs="仿宋"/>
          <w:sz w:val="28"/>
          <w:lang w:bidi="zh-TW"/>
        </w:rPr>
        <w:t xml:space="preserve">其委托代理人（签字或盖章）：         其委托代理人（签字或盖章）：   </w:t>
      </w:r>
    </w:p>
    <w:p w14:paraId="2F8373B6">
      <w:pPr>
        <w:spacing w:line="460" w:lineRule="exact"/>
        <w:rPr>
          <w:rFonts w:ascii="仿宋" w:hAnsi="仿宋" w:eastAsia="仿宋" w:cs="仿宋"/>
          <w:sz w:val="28"/>
        </w:rPr>
      </w:pPr>
    </w:p>
    <w:p w14:paraId="716A8F0C">
      <w:pPr>
        <w:widowControl/>
        <w:spacing w:line="460" w:lineRule="exact"/>
        <w:rPr>
          <w:rFonts w:ascii="仿宋" w:hAnsi="仿宋" w:eastAsia="仿宋" w:cs="仿宋"/>
          <w:sz w:val="28"/>
        </w:rPr>
      </w:pPr>
      <w:r>
        <w:rPr>
          <w:rFonts w:hint="eastAsia" w:ascii="仿宋" w:hAnsi="仿宋" w:eastAsia="仿宋" w:cs="仿宋"/>
          <w:sz w:val="28"/>
        </w:rPr>
        <w:t>签订时间： 年</w:t>
      </w:r>
      <w:r>
        <w:rPr>
          <w:rFonts w:hint="eastAsia" w:ascii="仿宋" w:hAnsi="仿宋" w:eastAsia="仿宋" w:cs="仿宋"/>
          <w:sz w:val="28"/>
          <w:lang w:val="en-US" w:eastAsia="zh-CN"/>
        </w:rPr>
        <w:t xml:space="preserve"> </w:t>
      </w:r>
      <w:r>
        <w:rPr>
          <w:rFonts w:hint="eastAsia" w:ascii="仿宋" w:hAnsi="仿宋" w:eastAsia="仿宋" w:cs="仿宋"/>
          <w:sz w:val="28"/>
        </w:rPr>
        <w:t>月</w:t>
      </w:r>
      <w:r>
        <w:rPr>
          <w:rFonts w:hint="eastAsia" w:ascii="仿宋" w:hAnsi="仿宋" w:eastAsia="仿宋" w:cs="仿宋"/>
          <w:sz w:val="28"/>
          <w:lang w:val="en-US" w:eastAsia="zh-CN"/>
        </w:rPr>
        <w:t xml:space="preserve">  </w:t>
      </w:r>
      <w:r>
        <w:rPr>
          <w:rFonts w:hint="eastAsia" w:ascii="仿宋" w:hAnsi="仿宋" w:eastAsia="仿宋" w:cs="仿宋"/>
          <w:sz w:val="28"/>
        </w:rPr>
        <w:t xml:space="preserve">日  </w:t>
      </w:r>
    </w:p>
    <w:p w14:paraId="69757882">
      <w:pPr>
        <w:spacing w:line="460" w:lineRule="exact"/>
        <w:rPr>
          <w:rFonts w:hint="default" w:ascii="仿宋" w:hAnsi="仿宋" w:eastAsia="仿宋" w:cs="仿宋"/>
          <w:sz w:val="28"/>
          <w:lang w:val="en-US" w:eastAsia="zh-CN"/>
        </w:rPr>
      </w:pPr>
      <w:r>
        <w:rPr>
          <w:rFonts w:hint="eastAsia" w:ascii="仿宋" w:hAnsi="仿宋" w:eastAsia="仿宋" w:cs="仿宋"/>
          <w:sz w:val="28"/>
        </w:rPr>
        <w:t>签订地点：</w:t>
      </w:r>
    </w:p>
    <w:p w14:paraId="3B07720D">
      <w:pPr>
        <w:rPr>
          <w:rFonts w:hint="eastAsia" w:ascii="仿宋" w:hAnsi="仿宋" w:eastAsia="仿宋" w:cs="仿宋"/>
          <w:i w:val="0"/>
          <w:color w:val="auto"/>
          <w:sz w:val="28"/>
        </w:rPr>
      </w:pPr>
      <w:r>
        <w:rPr>
          <w:rFonts w:hint="eastAsia" w:ascii="仿宋" w:hAnsi="仿宋" w:eastAsia="仿宋" w:cs="仿宋"/>
          <w:i w:val="0"/>
          <w:color w:val="auto"/>
          <w:sz w:val="28"/>
        </w:rPr>
        <w:br w:type="page"/>
      </w:r>
    </w:p>
    <w:p w14:paraId="59E9DB36">
      <w:pPr>
        <w:pStyle w:val="42"/>
        <w:spacing w:line="480" w:lineRule="exact"/>
        <w:ind w:firstLine="560"/>
        <w:rPr>
          <w:rFonts w:ascii="仿宋" w:hAnsi="仿宋" w:eastAsia="仿宋" w:cs="仿宋"/>
          <w:i w:val="0"/>
          <w:color w:val="auto"/>
          <w:sz w:val="28"/>
        </w:rPr>
      </w:pPr>
      <w:r>
        <w:rPr>
          <w:rFonts w:hint="eastAsia" w:ascii="仿宋" w:hAnsi="仿宋" w:eastAsia="仿宋" w:cs="仿宋"/>
          <w:i w:val="0"/>
          <w:color w:val="auto"/>
          <w:sz w:val="28"/>
        </w:rPr>
        <w:t>附件1：《廉政合同》</w:t>
      </w:r>
    </w:p>
    <w:p w14:paraId="53E6F545">
      <w:pPr>
        <w:pStyle w:val="2"/>
        <w:spacing w:after="0"/>
        <w:ind w:left="0" w:leftChars="0" w:firstLine="0" w:firstLineChars="0"/>
        <w:jc w:val="left"/>
        <w:rPr>
          <w:rFonts w:ascii="Times New Roman" w:eastAsia="黑体"/>
          <w:kern w:val="2"/>
          <w:sz w:val="44"/>
          <w:szCs w:val="24"/>
        </w:rPr>
      </w:pPr>
    </w:p>
    <w:p w14:paraId="5F1E769B">
      <w:pPr>
        <w:jc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b/>
          <w:kern w:val="0"/>
          <w:sz w:val="32"/>
          <w:szCs w:val="32"/>
        </w:rPr>
        <w:t>廉政合同</w:t>
      </w:r>
    </w:p>
    <w:p w14:paraId="7B613EBE">
      <w:pPr>
        <w:pStyle w:val="14"/>
        <w:spacing w:line="560" w:lineRule="exact"/>
        <w:jc w:val="right"/>
        <w:rPr>
          <w:rFonts w:ascii="仿宋" w:hAnsi="仿宋" w:eastAsia="仿宋" w:cs="仿宋"/>
          <w:b/>
          <w:bCs/>
          <w:sz w:val="28"/>
          <w:szCs w:val="28"/>
        </w:rPr>
      </w:pPr>
      <w:r>
        <w:rPr>
          <w:rFonts w:hint="eastAsia" w:ascii="仿宋" w:hAnsi="仿宋" w:eastAsia="仿宋" w:cs="仿宋"/>
          <w:b/>
          <w:bCs/>
          <w:sz w:val="28"/>
          <w:szCs w:val="28"/>
        </w:rPr>
        <w:t>编 号：</w:t>
      </w:r>
    </w:p>
    <w:p w14:paraId="516E82DB">
      <w:pPr>
        <w:spacing w:line="560" w:lineRule="exact"/>
        <w:ind w:firstLine="570"/>
        <w:rPr>
          <w:rFonts w:ascii="仿宋" w:hAnsi="仿宋" w:eastAsia="仿宋" w:cs="仿宋"/>
          <w:sz w:val="28"/>
        </w:rPr>
      </w:pPr>
      <w:r>
        <w:rPr>
          <w:rFonts w:hint="eastAsia" w:ascii="仿宋" w:hAnsi="仿宋" w:eastAsia="仿宋" w:cs="仿宋"/>
          <w:sz w:val="28"/>
        </w:rPr>
        <w:t>为共同维护公平、公正、廉洁的市场秩序，防止商业贿赂，避免违规违纪行为的发生，共同维护职业行为的廉洁性，甲乙双方在</w:t>
      </w:r>
      <w:r>
        <w:rPr>
          <w:rFonts w:hint="eastAsia" w:ascii="仿宋" w:hAnsi="仿宋" w:eastAsia="仿宋" w:cs="仿宋"/>
          <w:sz w:val="28"/>
          <w:szCs w:val="22"/>
        </w:rPr>
        <w:t>四川蜀道新能源科技发展有限公司《</w:t>
      </w:r>
      <w:r>
        <w:rPr>
          <w:rFonts w:hint="eastAsia" w:ascii="仿宋" w:hAnsi="仿宋" w:eastAsia="仿宋" w:cs="仿宋"/>
          <w:sz w:val="28"/>
          <w:szCs w:val="22"/>
          <w:lang w:val="en-US" w:eastAsia="zh-CN"/>
        </w:rPr>
        <w:t xml:space="preserve"> </w:t>
      </w:r>
      <w:r>
        <w:rPr>
          <w:rFonts w:hint="eastAsia" w:ascii="仿宋" w:hAnsi="仿宋" w:eastAsia="仿宋" w:cs="仿宋"/>
          <w:sz w:val="28"/>
          <w:szCs w:val="22"/>
        </w:rPr>
        <w:t>》</w:t>
      </w:r>
      <w:r>
        <w:rPr>
          <w:rFonts w:hint="eastAsia" w:ascii="仿宋" w:hAnsi="仿宋" w:eastAsia="仿宋" w:cs="仿宋"/>
          <w:sz w:val="28"/>
        </w:rPr>
        <w:t>的签订及实施过程中，应共同遵守以下条款：</w:t>
      </w:r>
    </w:p>
    <w:p w14:paraId="2733EC0E">
      <w:pPr>
        <w:pStyle w:val="15"/>
        <w:spacing w:line="560" w:lineRule="exact"/>
        <w:ind w:firstLine="562" w:firstLineChars="200"/>
        <w:rPr>
          <w:rFonts w:ascii="仿宋" w:hAnsi="仿宋" w:eastAsia="仿宋" w:cs="仿宋"/>
          <w:b/>
          <w:bCs/>
          <w:sz w:val="28"/>
          <w:szCs w:val="24"/>
        </w:rPr>
      </w:pPr>
      <w:r>
        <w:rPr>
          <w:rFonts w:hint="eastAsia" w:ascii="仿宋" w:hAnsi="仿宋" w:eastAsia="仿宋" w:cs="仿宋"/>
          <w:b/>
          <w:bCs/>
          <w:sz w:val="28"/>
          <w:szCs w:val="24"/>
        </w:rPr>
        <w:t>第一条  甲乙双方的权利和义务</w:t>
      </w:r>
    </w:p>
    <w:p w14:paraId="47EC1E49">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1.严格遵守党和国家有关法律法规及交通运输部的有关规定。</w:t>
      </w:r>
    </w:p>
    <w:p w14:paraId="5D642A94">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2.严格执行本项目的合同文件，自觉按合同办事。</w:t>
      </w:r>
    </w:p>
    <w:p w14:paraId="58E3CED0">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3.双方的业务活动坚持公开、公正、诚信、透明的原则(除法律认定的商业秘密和合同文件另有规定之外)，不得损害国家和集体利益，不得违反相关管理规章制度。</w:t>
      </w:r>
    </w:p>
    <w:p w14:paraId="6B10D992">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4.建立健全相关机制，开展廉政教育，公布举报电话，监督并认真查处违法违纪行为。</w:t>
      </w:r>
    </w:p>
    <w:p w14:paraId="2C6A7F56">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5.发现对方在业务活动中有违反廉政规定的行为，有及时提醒对方纠正的权利和义务。</w:t>
      </w:r>
    </w:p>
    <w:p w14:paraId="3FB24E37">
      <w:pPr>
        <w:pStyle w:val="15"/>
        <w:spacing w:line="560" w:lineRule="exact"/>
        <w:ind w:firstLine="560" w:firstLineChars="200"/>
        <w:rPr>
          <w:rFonts w:hAnsi="宋体"/>
          <w:sz w:val="24"/>
          <w:szCs w:val="24"/>
        </w:rPr>
      </w:pPr>
      <w:r>
        <w:rPr>
          <w:rFonts w:hint="eastAsia" w:ascii="仿宋" w:hAnsi="仿宋" w:eastAsia="仿宋" w:cs="仿宋"/>
          <w:sz w:val="28"/>
          <w:szCs w:val="24"/>
        </w:rPr>
        <w:t>6.发现对方严重违反本合同义务条款的行为，有向其上级有关部门举报，建议给予处理并要求告知处理结果的权利。</w:t>
      </w:r>
    </w:p>
    <w:p w14:paraId="027A7AA6">
      <w:pPr>
        <w:spacing w:line="560" w:lineRule="exact"/>
        <w:ind w:firstLine="562" w:firstLineChars="200"/>
        <w:rPr>
          <w:rFonts w:ascii="仿宋" w:hAnsi="仿宋" w:eastAsia="仿宋" w:cs="仿宋"/>
          <w:b/>
          <w:bCs/>
          <w:sz w:val="28"/>
        </w:rPr>
      </w:pPr>
      <w:r>
        <w:rPr>
          <w:rFonts w:hint="eastAsia" w:ascii="仿宋" w:hAnsi="仿宋" w:eastAsia="仿宋" w:cs="仿宋"/>
          <w:b/>
          <w:bCs/>
          <w:sz w:val="28"/>
        </w:rPr>
        <w:t>第二条  甲方的义务</w:t>
      </w:r>
    </w:p>
    <w:p w14:paraId="7A4BE2CC">
      <w:pPr>
        <w:spacing w:line="560" w:lineRule="exact"/>
        <w:ind w:firstLine="570"/>
        <w:rPr>
          <w:rFonts w:ascii="仿宋" w:hAnsi="仿宋" w:eastAsia="仿宋" w:cs="仿宋"/>
          <w:sz w:val="28"/>
        </w:rPr>
      </w:pPr>
      <w:r>
        <w:rPr>
          <w:rFonts w:hint="eastAsia" w:ascii="仿宋" w:hAnsi="仿宋" w:eastAsia="仿宋" w:cs="仿宋"/>
          <w:sz w:val="28"/>
        </w:rPr>
        <w:t xml:space="preserve">1.甲方及其工作人员不索取或接受乙方提供的土特产、礼品、礼金、有价证券、支付凭证、商业回扣等一切物质性利益，不得在乙方报销任何应由甲方或个人支付的费用等。 </w:t>
      </w:r>
    </w:p>
    <w:p w14:paraId="1ED7C478">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2.甲方工作人员不得参加乙方安排的超标准宴请、娱乐活动和旅游考察，不得接受乙方提供的通讯工具、交通工具和高档办公用品等。</w:t>
      </w:r>
    </w:p>
    <w:p w14:paraId="25C01377">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3.甲方工作人员不得要求或者接受乙方为其住房装修、婚丧嫁娶活动、配偶子女的工作安排以及出国、出境旅游等提供方便等。</w:t>
      </w:r>
    </w:p>
    <w:p w14:paraId="4858D9C4">
      <w:pPr>
        <w:spacing w:line="560" w:lineRule="exact"/>
        <w:ind w:firstLine="570"/>
        <w:rPr>
          <w:rFonts w:ascii="仿宋" w:hAnsi="仿宋" w:eastAsia="仿宋" w:cs="仿宋"/>
          <w:sz w:val="28"/>
        </w:rPr>
      </w:pPr>
      <w:r>
        <w:rPr>
          <w:rFonts w:hint="eastAsia" w:ascii="仿宋" w:hAnsi="仿宋" w:eastAsia="仿宋" w:cs="仿宋"/>
          <w:sz w:val="28"/>
        </w:rPr>
        <w:t>4.甲方工作人员不介绍自己的配偶、子女或其他特定关系人与乙方企业发生经济业务关系。</w:t>
      </w:r>
    </w:p>
    <w:p w14:paraId="684E3A92">
      <w:pPr>
        <w:spacing w:line="560" w:lineRule="exact"/>
        <w:ind w:firstLine="570"/>
        <w:rPr>
          <w:rFonts w:ascii="仿宋" w:hAnsi="仿宋" w:eastAsia="仿宋" w:cs="仿宋"/>
          <w:b/>
          <w:bCs/>
          <w:sz w:val="28"/>
        </w:rPr>
      </w:pPr>
      <w:r>
        <w:rPr>
          <w:rFonts w:hint="eastAsia" w:ascii="仿宋" w:hAnsi="仿宋" w:eastAsia="仿宋" w:cs="仿宋"/>
          <w:b/>
          <w:bCs/>
          <w:sz w:val="28"/>
        </w:rPr>
        <w:t>第三条  乙方的义务</w:t>
      </w:r>
    </w:p>
    <w:p w14:paraId="08B08692">
      <w:pPr>
        <w:pStyle w:val="15"/>
        <w:spacing w:line="560" w:lineRule="exact"/>
        <w:ind w:firstLine="560" w:firstLineChars="200"/>
        <w:rPr>
          <w:rFonts w:ascii="仿宋" w:hAnsi="仿宋" w:eastAsia="仿宋" w:cs="仿宋"/>
          <w:sz w:val="28"/>
          <w:szCs w:val="24"/>
        </w:rPr>
      </w:pPr>
      <w:r>
        <w:rPr>
          <w:rFonts w:hint="eastAsia" w:ascii="仿宋" w:hAnsi="仿宋" w:eastAsia="仿宋" w:cs="仿宋"/>
          <w:sz w:val="28"/>
          <w:szCs w:val="24"/>
        </w:rPr>
        <w:t>1.乙方不得以任何理由向甲方工作人员行贿或馈赠土特产、礼品、礼金、有价证券、支付凭证、商业回扣等</w:t>
      </w:r>
      <w:r>
        <w:rPr>
          <w:rFonts w:hint="eastAsia" w:ascii="仿宋" w:hAnsi="仿宋" w:eastAsia="仿宋" w:cs="仿宋"/>
          <w:sz w:val="28"/>
        </w:rPr>
        <w:t>一切物质性利益。</w:t>
      </w:r>
    </w:p>
    <w:p w14:paraId="7172AF16">
      <w:pPr>
        <w:spacing w:line="560" w:lineRule="exact"/>
        <w:ind w:firstLine="570"/>
        <w:rPr>
          <w:rFonts w:ascii="仿宋" w:hAnsi="仿宋" w:eastAsia="仿宋" w:cs="仿宋"/>
          <w:sz w:val="28"/>
        </w:rPr>
      </w:pPr>
      <w:r>
        <w:rPr>
          <w:rFonts w:hint="eastAsia" w:ascii="仿宋" w:hAnsi="仿宋" w:eastAsia="仿宋" w:cs="仿宋"/>
          <w:sz w:val="28"/>
        </w:rPr>
        <w:t>2.乙方不以任何理由安排甲方工作人员参加宴请、娱乐活动、旅游考察等消费活动。</w:t>
      </w:r>
    </w:p>
    <w:p w14:paraId="7575D179">
      <w:pPr>
        <w:spacing w:line="560" w:lineRule="exact"/>
        <w:ind w:firstLine="570"/>
        <w:rPr>
          <w:rFonts w:ascii="仿宋" w:hAnsi="仿宋" w:eastAsia="仿宋" w:cs="仿宋"/>
          <w:sz w:val="28"/>
        </w:rPr>
      </w:pPr>
      <w:r>
        <w:rPr>
          <w:rFonts w:hint="eastAsia" w:ascii="仿宋" w:hAnsi="仿宋" w:eastAsia="仿宋" w:cs="仿宋"/>
          <w:sz w:val="28"/>
        </w:rPr>
        <w:t>3.乙方不以任何名义为甲方工作人员报销应由甲方单位或个人承担的任何费用。</w:t>
      </w:r>
    </w:p>
    <w:p w14:paraId="0FB0548C">
      <w:pPr>
        <w:spacing w:line="560" w:lineRule="exact"/>
        <w:ind w:firstLine="570"/>
        <w:rPr>
          <w:rFonts w:ascii="仿宋" w:hAnsi="仿宋" w:eastAsia="仿宋" w:cs="仿宋"/>
          <w:sz w:val="28"/>
        </w:rPr>
      </w:pPr>
      <w:r>
        <w:rPr>
          <w:rFonts w:hint="eastAsia" w:ascii="仿宋" w:hAnsi="仿宋" w:eastAsia="仿宋" w:cs="仿宋"/>
          <w:sz w:val="28"/>
        </w:rPr>
        <w:t>4.乙方不为甲方工作人员及其配偶、子女或其他特定关系人在本企业投资入股或赠送“干股”。</w:t>
      </w:r>
    </w:p>
    <w:p w14:paraId="6E5A0E1A">
      <w:pPr>
        <w:spacing w:line="560" w:lineRule="exact"/>
        <w:ind w:firstLine="570"/>
        <w:rPr>
          <w:rFonts w:ascii="仿宋" w:hAnsi="仿宋" w:eastAsia="仿宋" w:cs="仿宋"/>
          <w:b/>
          <w:bCs/>
          <w:sz w:val="28"/>
        </w:rPr>
      </w:pPr>
      <w:r>
        <w:rPr>
          <w:rFonts w:hint="eastAsia" w:ascii="仿宋" w:hAnsi="仿宋" w:eastAsia="仿宋" w:cs="仿宋"/>
          <w:b/>
          <w:bCs/>
          <w:sz w:val="28"/>
        </w:rPr>
        <w:t>第四条  责任追究</w:t>
      </w:r>
    </w:p>
    <w:p w14:paraId="61030547">
      <w:pPr>
        <w:pStyle w:val="14"/>
        <w:spacing w:line="560" w:lineRule="exact"/>
        <w:ind w:firstLine="560" w:firstLineChars="200"/>
        <w:rPr>
          <w:rFonts w:ascii="仿宋" w:hAnsi="仿宋" w:eastAsia="仿宋" w:cs="仿宋"/>
          <w:sz w:val="28"/>
        </w:rPr>
      </w:pPr>
      <w:r>
        <w:rPr>
          <w:rFonts w:hint="eastAsia" w:ascii="仿宋" w:hAnsi="仿宋" w:eastAsia="仿宋" w:cs="仿宋"/>
          <w:sz w:val="28"/>
        </w:rPr>
        <w:t>1.甲方工作人员违反廉政合同的，按照干部管理权限，依据有关规定给予党纪、行政处分；涉嫌犯罪的，移送司法机关。</w:t>
      </w:r>
    </w:p>
    <w:p w14:paraId="0EB053B8">
      <w:pPr>
        <w:pStyle w:val="14"/>
        <w:spacing w:line="560" w:lineRule="exact"/>
        <w:ind w:firstLine="560" w:firstLineChars="200"/>
        <w:rPr>
          <w:rFonts w:ascii="仿宋" w:hAnsi="仿宋" w:eastAsia="仿宋" w:cs="仿宋"/>
          <w:sz w:val="28"/>
        </w:rPr>
      </w:pPr>
      <w:r>
        <w:rPr>
          <w:rFonts w:hint="eastAsia" w:ascii="仿宋" w:hAnsi="仿宋" w:eastAsia="仿宋" w:cs="仿宋"/>
          <w:sz w:val="28"/>
        </w:rPr>
        <w:t>2.乙方及其工作人员违反廉政合同造成经济损失的，应予以赔偿；甲方有权视其情节轻重决定暂时停止或长期中止与乙方所有经济业务合同。</w:t>
      </w:r>
    </w:p>
    <w:p w14:paraId="415B2220">
      <w:pPr>
        <w:pStyle w:val="14"/>
        <w:spacing w:line="560" w:lineRule="exact"/>
        <w:ind w:firstLine="560" w:firstLineChars="200"/>
        <w:rPr>
          <w:rFonts w:ascii="仿宋" w:hAnsi="仿宋" w:eastAsia="仿宋" w:cs="仿宋"/>
          <w:sz w:val="28"/>
        </w:rPr>
      </w:pPr>
      <w:r>
        <w:rPr>
          <w:rFonts w:hint="eastAsia" w:ascii="仿宋" w:hAnsi="仿宋" w:eastAsia="仿宋" w:cs="仿宋"/>
          <w:sz w:val="28"/>
        </w:rPr>
        <w:t>3.本合同作为附件，与</w:t>
      </w:r>
      <w:r>
        <w:rPr>
          <w:rFonts w:hint="eastAsia" w:ascii="仿宋" w:hAnsi="仿宋" w:eastAsia="仿宋" w:cs="仿宋"/>
          <w:sz w:val="28"/>
          <w:szCs w:val="22"/>
        </w:rPr>
        <w:t>《</w:t>
      </w:r>
      <w:r>
        <w:rPr>
          <w:rFonts w:hint="eastAsia" w:ascii="仿宋" w:hAnsi="仿宋" w:eastAsia="仿宋" w:cs="仿宋"/>
          <w:sz w:val="28"/>
          <w:szCs w:val="22"/>
          <w:lang w:val="en-US" w:eastAsia="zh-CN"/>
        </w:rPr>
        <w:t xml:space="preserve"> </w:t>
      </w:r>
      <w:r>
        <w:rPr>
          <w:rFonts w:hint="eastAsia" w:ascii="仿宋" w:hAnsi="仿宋" w:eastAsia="仿宋" w:cs="仿宋"/>
          <w:sz w:val="28"/>
          <w:szCs w:val="22"/>
        </w:rPr>
        <w:t>》</w:t>
      </w:r>
      <w:r>
        <w:rPr>
          <w:rFonts w:hint="eastAsia" w:ascii="仿宋" w:hAnsi="仿宋" w:eastAsia="仿宋" w:cs="仿宋"/>
          <w:sz w:val="28"/>
        </w:rPr>
        <w:t>（合同编号：</w:t>
      </w:r>
      <w:r>
        <w:rPr>
          <w:rFonts w:hint="eastAsia" w:ascii="仿宋" w:hAnsi="仿宋" w:eastAsia="仿宋" w:cs="仿宋"/>
          <w:sz w:val="28"/>
          <w:lang w:val="en-US" w:eastAsia="zh-CN"/>
        </w:rPr>
        <w:t xml:space="preserve">  </w:t>
      </w:r>
      <w:r>
        <w:rPr>
          <w:rFonts w:hint="eastAsia" w:ascii="仿宋" w:hAnsi="仿宋" w:eastAsia="仿宋" w:cs="仿宋"/>
          <w:sz w:val="28"/>
        </w:rPr>
        <w:t>）具有同等的法律效力，经合同双方签署立即生效。</w:t>
      </w:r>
    </w:p>
    <w:p w14:paraId="44814BAB">
      <w:pPr>
        <w:spacing w:line="560" w:lineRule="exact"/>
        <w:ind w:firstLine="570"/>
        <w:rPr>
          <w:rFonts w:ascii="仿宋" w:hAnsi="仿宋" w:eastAsia="仿宋" w:cs="仿宋"/>
          <w:sz w:val="28"/>
        </w:rPr>
      </w:pPr>
      <w:r>
        <w:rPr>
          <w:rFonts w:hint="eastAsia" w:ascii="仿宋" w:hAnsi="仿宋" w:eastAsia="仿宋" w:cs="仿宋"/>
          <w:sz w:val="28"/>
        </w:rPr>
        <w:t>4.本合同一式</w:t>
      </w:r>
      <w:r>
        <w:rPr>
          <w:rFonts w:hint="eastAsia" w:ascii="仿宋" w:hAnsi="仿宋" w:eastAsia="仿宋" w:cs="仿宋"/>
          <w:sz w:val="28"/>
          <w:lang w:val="en-US" w:eastAsia="zh-CN"/>
        </w:rPr>
        <w:t>柒</w:t>
      </w:r>
      <w:r>
        <w:rPr>
          <w:rFonts w:hint="eastAsia" w:ascii="仿宋" w:hAnsi="仿宋" w:eastAsia="仿宋" w:cs="仿宋"/>
          <w:sz w:val="28"/>
        </w:rPr>
        <w:t>份，由甲方执</w:t>
      </w:r>
      <w:r>
        <w:rPr>
          <w:rFonts w:hint="eastAsia" w:ascii="仿宋" w:hAnsi="仿宋" w:eastAsia="仿宋" w:cs="仿宋"/>
          <w:sz w:val="28"/>
          <w:lang w:val="en-US" w:eastAsia="zh-CN"/>
        </w:rPr>
        <w:t>伍</w:t>
      </w:r>
      <w:r>
        <w:rPr>
          <w:rFonts w:hint="eastAsia" w:ascii="仿宋" w:hAnsi="仿宋" w:eastAsia="仿宋" w:cs="仿宋"/>
          <w:sz w:val="28"/>
        </w:rPr>
        <w:t>份，乙方执贰份。</w:t>
      </w:r>
    </w:p>
    <w:p w14:paraId="5679E7DF">
      <w:pPr>
        <w:spacing w:line="560" w:lineRule="exact"/>
        <w:ind w:firstLine="570"/>
        <w:rPr>
          <w:rFonts w:ascii="仿宋" w:hAnsi="仿宋" w:eastAsia="仿宋" w:cs="仿宋"/>
          <w:sz w:val="28"/>
        </w:rPr>
      </w:pPr>
      <w:r>
        <w:rPr>
          <w:rFonts w:hint="eastAsia" w:ascii="仿宋" w:hAnsi="仿宋" w:eastAsia="仿宋" w:cs="仿宋"/>
          <w:sz w:val="28"/>
        </w:rPr>
        <w:t>本页无正文，为合同签署页。</w:t>
      </w:r>
    </w:p>
    <w:tbl>
      <w:tblPr>
        <w:tblStyle w:val="27"/>
        <w:tblpPr w:leftFromText="180" w:rightFromText="180" w:vertAnchor="text" w:horzAnchor="page" w:tblpX="1730" w:tblpY="444"/>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59"/>
        <w:gridCol w:w="4760"/>
      </w:tblGrid>
      <w:tr w14:paraId="23E0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tcPr>
          <w:p w14:paraId="3596477F">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甲方（盖章）：四川蜀道新能源科技发展有限公司</w:t>
            </w:r>
          </w:p>
        </w:tc>
        <w:tc>
          <w:tcPr>
            <w:tcW w:w="2500" w:type="pct"/>
          </w:tcPr>
          <w:p w14:paraId="5A54C423">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乙方（盖章）：</w:t>
            </w:r>
          </w:p>
        </w:tc>
      </w:tr>
      <w:tr w14:paraId="1C71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2" w:hRule="atLeast"/>
        </w:trPr>
        <w:tc>
          <w:tcPr>
            <w:tcW w:w="2500" w:type="pct"/>
          </w:tcPr>
          <w:p w14:paraId="0412F6A7">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法定代表人：</w:t>
            </w:r>
          </w:p>
          <w:p w14:paraId="04AA6BC3">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或委托代理人（签字或盖章）：</w:t>
            </w:r>
          </w:p>
        </w:tc>
        <w:tc>
          <w:tcPr>
            <w:tcW w:w="2500" w:type="pct"/>
          </w:tcPr>
          <w:p w14:paraId="4424D2D2">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法定代表人：</w:t>
            </w:r>
          </w:p>
          <w:p w14:paraId="6CB6E2D7">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或委托代理人（签字或盖章）：</w:t>
            </w:r>
          </w:p>
        </w:tc>
      </w:tr>
      <w:tr w14:paraId="21F52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trPr>
        <w:tc>
          <w:tcPr>
            <w:tcW w:w="5000" w:type="pct"/>
            <w:gridSpan w:val="2"/>
          </w:tcPr>
          <w:p w14:paraId="4B4DCB05">
            <w:pPr>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签订日期：  年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w:t>
            </w:r>
          </w:p>
        </w:tc>
      </w:tr>
    </w:tbl>
    <w:p w14:paraId="442FCB21">
      <w:pPr>
        <w:pStyle w:val="2"/>
        <w:ind w:firstLine="560"/>
      </w:pPr>
    </w:p>
    <w:p w14:paraId="527943CE">
      <w:pPr>
        <w:pStyle w:val="2"/>
        <w:ind w:firstLine="560"/>
      </w:pPr>
    </w:p>
    <w:p w14:paraId="4606F6C4"/>
    <w:p w14:paraId="760D1321"/>
    <w:p w14:paraId="21E77E0A">
      <w:pPr>
        <w:spacing w:line="560" w:lineRule="exact"/>
        <w:ind w:firstLine="280" w:firstLineChars="100"/>
        <w:rPr>
          <w:rFonts w:hint="eastAsia" w:ascii="仿宋" w:hAnsi="仿宋" w:eastAsia="仿宋" w:cs="仿宋"/>
          <w:sz w:val="28"/>
          <w:lang w:val="en-US" w:eastAsia="zh-CN"/>
        </w:rPr>
      </w:pPr>
    </w:p>
    <w:p w14:paraId="53E02E91">
      <w:pPr>
        <w:spacing w:line="560" w:lineRule="exact"/>
        <w:ind w:firstLine="280" w:firstLineChars="100"/>
        <w:rPr>
          <w:rFonts w:hint="eastAsia" w:ascii="仿宋" w:hAnsi="仿宋" w:eastAsia="仿宋" w:cs="仿宋"/>
          <w:sz w:val="28"/>
          <w:lang w:val="en-US" w:eastAsia="zh-CN"/>
        </w:rPr>
      </w:pPr>
    </w:p>
    <w:p w14:paraId="2AF3F5FC">
      <w:pPr>
        <w:spacing w:line="560" w:lineRule="exact"/>
        <w:ind w:firstLine="280" w:firstLineChars="100"/>
        <w:rPr>
          <w:rFonts w:hint="eastAsia" w:ascii="仿宋" w:hAnsi="仿宋" w:eastAsia="仿宋" w:cs="仿宋"/>
          <w:sz w:val="28"/>
          <w:lang w:val="en-US" w:eastAsia="zh-CN"/>
        </w:rPr>
      </w:pPr>
    </w:p>
    <w:bookmarkEnd w:id="45"/>
    <w:p w14:paraId="1A9C55BF">
      <w:pPr>
        <w:rPr>
          <w:rFonts w:hint="eastAsia" w:ascii="宋体" w:hAnsi="宋体"/>
          <w:b/>
          <w:bCs/>
          <w:kern w:val="44"/>
          <w:sz w:val="44"/>
          <w:szCs w:val="44"/>
        </w:rPr>
      </w:pPr>
      <w:bookmarkStart w:id="46" w:name="_Toc27652"/>
      <w:bookmarkStart w:id="47" w:name="_Toc26840"/>
      <w:bookmarkStart w:id="48" w:name="_Toc11968"/>
      <w:bookmarkStart w:id="49" w:name="_Toc15046"/>
    </w:p>
    <w:p w14:paraId="7A9240BF">
      <w:pPr>
        <w:pStyle w:val="2"/>
        <w:ind w:firstLine="560"/>
      </w:pPr>
    </w:p>
    <w:p w14:paraId="57CAE0B6"/>
    <w:p w14:paraId="1D1B93BD">
      <w:pPr>
        <w:pStyle w:val="2"/>
        <w:ind w:firstLine="560"/>
      </w:pPr>
    </w:p>
    <w:p w14:paraId="45FF8989"/>
    <w:p w14:paraId="07E55B77">
      <w:pPr>
        <w:keepLines/>
        <w:spacing w:line="360" w:lineRule="auto"/>
        <w:jc w:val="center"/>
        <w:rPr>
          <w:rFonts w:hint="eastAsia" w:ascii="宋体" w:hAnsi="宋体"/>
          <w:b/>
          <w:bCs/>
          <w:kern w:val="44"/>
          <w:sz w:val="44"/>
          <w:szCs w:val="44"/>
          <w:u w:val="none"/>
        </w:rPr>
      </w:pPr>
      <w:bookmarkStart w:id="50" w:name="_Toc6845"/>
      <w:r>
        <w:rPr>
          <w:rFonts w:hint="eastAsia" w:ascii="宋体" w:hAnsi="宋体"/>
          <w:b/>
          <w:bCs/>
          <w:kern w:val="44"/>
          <w:sz w:val="44"/>
          <w:szCs w:val="44"/>
          <w:u w:val="none"/>
        </w:rPr>
        <w:br w:type="page"/>
      </w:r>
    </w:p>
    <w:p w14:paraId="774C185E">
      <w:pPr>
        <w:pStyle w:val="5"/>
        <w:keepLines/>
        <w:spacing w:line="360" w:lineRule="auto"/>
        <w:jc w:val="center"/>
        <w:rPr>
          <w:b/>
          <w:bCs/>
          <w:sz w:val="36"/>
          <w:szCs w:val="36"/>
        </w:rPr>
      </w:pPr>
      <w:r>
        <w:rPr>
          <w:rFonts w:hint="eastAsia" w:ascii="宋体" w:hAnsi="宋体"/>
          <w:b/>
          <w:bCs/>
          <w:kern w:val="44"/>
          <w:sz w:val="44"/>
          <w:szCs w:val="44"/>
          <w:u w:val="none"/>
        </w:rPr>
        <w:t>第六章 费用清单</w:t>
      </w:r>
      <w:bookmarkEnd w:id="43"/>
      <w:bookmarkEnd w:id="46"/>
      <w:bookmarkEnd w:id="47"/>
      <w:bookmarkEnd w:id="48"/>
      <w:bookmarkEnd w:id="49"/>
      <w:bookmarkEnd w:id="50"/>
      <w:bookmarkStart w:id="51" w:name="_Toc10826"/>
      <w:bookmarkStart w:id="52" w:name="_Toc23697"/>
      <w:bookmarkStart w:id="53" w:name="_Toc496658021"/>
    </w:p>
    <w:bookmarkEnd w:id="51"/>
    <w:p w14:paraId="3D4FD8EB">
      <w:pPr>
        <w:ind w:firstLine="2891" w:firstLineChars="800"/>
        <w:rPr>
          <w:b/>
          <w:bCs/>
          <w:sz w:val="36"/>
          <w:szCs w:val="36"/>
        </w:rPr>
      </w:pPr>
      <w:r>
        <w:rPr>
          <w:rFonts w:hint="eastAsia"/>
          <w:b/>
          <w:bCs/>
          <w:sz w:val="36"/>
          <w:szCs w:val="36"/>
        </w:rPr>
        <w:t>（最高比选申请限价）</w:t>
      </w:r>
      <w:bookmarkEnd w:id="52"/>
    </w:p>
    <w:tbl>
      <w:tblPr>
        <w:tblStyle w:val="26"/>
        <w:tblpPr w:leftFromText="180" w:rightFromText="180" w:vertAnchor="text" w:horzAnchor="page" w:tblpX="622" w:tblpY="189"/>
        <w:tblOverlap w:val="never"/>
        <w:tblW w:w="10174" w:type="dxa"/>
        <w:jc w:val="center"/>
        <w:tblLayout w:type="fixed"/>
        <w:tblCellMar>
          <w:top w:w="0" w:type="dxa"/>
          <w:left w:w="108" w:type="dxa"/>
          <w:bottom w:w="0" w:type="dxa"/>
          <w:right w:w="108" w:type="dxa"/>
        </w:tblCellMar>
      </w:tblPr>
      <w:tblGrid>
        <w:gridCol w:w="943"/>
        <w:gridCol w:w="1572"/>
        <w:gridCol w:w="835"/>
        <w:gridCol w:w="1479"/>
        <w:gridCol w:w="1905"/>
        <w:gridCol w:w="3440"/>
      </w:tblGrid>
      <w:tr w14:paraId="22E34909">
        <w:tblPrEx>
          <w:tblCellMar>
            <w:top w:w="0" w:type="dxa"/>
            <w:left w:w="108" w:type="dxa"/>
            <w:bottom w:w="0" w:type="dxa"/>
            <w:right w:w="108" w:type="dxa"/>
          </w:tblCellMar>
        </w:tblPrEx>
        <w:trPr>
          <w:trHeight w:val="642" w:hRule="atLeast"/>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5C05E227">
            <w:pPr>
              <w:widowControl/>
              <w:jc w:val="center"/>
              <w:textAlignment w:val="center"/>
              <w:rPr>
                <w:rFonts w:hint="eastAsia" w:ascii="宋体" w:hAnsi="宋体"/>
                <w:b/>
                <w:szCs w:val="21"/>
              </w:rPr>
            </w:pPr>
            <w:r>
              <w:rPr>
                <w:rFonts w:hint="eastAsia" w:ascii="宋体" w:hAnsi="宋体"/>
                <w:b/>
                <w:szCs w:val="21"/>
              </w:rPr>
              <w:t>序号</w:t>
            </w:r>
          </w:p>
        </w:tc>
        <w:tc>
          <w:tcPr>
            <w:tcW w:w="1572" w:type="dxa"/>
            <w:tcBorders>
              <w:top w:val="single" w:color="000000" w:sz="4" w:space="0"/>
              <w:left w:val="single" w:color="000000" w:sz="4" w:space="0"/>
              <w:bottom w:val="single" w:color="000000" w:sz="4" w:space="0"/>
              <w:right w:val="single" w:color="000000" w:sz="4" w:space="0"/>
            </w:tcBorders>
            <w:vAlign w:val="center"/>
          </w:tcPr>
          <w:p w14:paraId="579058FA">
            <w:pPr>
              <w:widowControl/>
              <w:jc w:val="center"/>
              <w:textAlignment w:val="center"/>
              <w:rPr>
                <w:rFonts w:hint="eastAsia" w:ascii="宋体" w:hAnsi="宋体"/>
                <w:b/>
                <w:szCs w:val="21"/>
              </w:rPr>
            </w:pPr>
            <w:r>
              <w:rPr>
                <w:rFonts w:hint="eastAsia" w:ascii="宋体" w:hAnsi="宋体"/>
                <w:b/>
                <w:szCs w:val="21"/>
              </w:rPr>
              <w:t>设备名称</w:t>
            </w:r>
          </w:p>
        </w:tc>
        <w:tc>
          <w:tcPr>
            <w:tcW w:w="835" w:type="dxa"/>
            <w:tcBorders>
              <w:top w:val="single" w:color="000000" w:sz="4" w:space="0"/>
              <w:left w:val="single" w:color="000000" w:sz="4" w:space="0"/>
              <w:bottom w:val="single" w:color="000000" w:sz="4" w:space="0"/>
              <w:right w:val="single" w:color="000000" w:sz="4" w:space="0"/>
            </w:tcBorders>
            <w:vAlign w:val="center"/>
          </w:tcPr>
          <w:p w14:paraId="143D5EA8">
            <w:pPr>
              <w:widowControl/>
              <w:jc w:val="center"/>
              <w:textAlignment w:val="center"/>
              <w:rPr>
                <w:rFonts w:hint="eastAsia" w:ascii="宋体" w:hAnsi="宋体"/>
                <w:b/>
                <w:szCs w:val="21"/>
              </w:rPr>
            </w:pPr>
            <w:r>
              <w:rPr>
                <w:rFonts w:hint="eastAsia" w:ascii="宋体" w:hAnsi="宋体"/>
                <w:b/>
                <w:szCs w:val="21"/>
              </w:rPr>
              <w:t xml:space="preserve">数量      </w:t>
            </w:r>
          </w:p>
          <w:p w14:paraId="4649A2F0">
            <w:pPr>
              <w:widowControl/>
              <w:jc w:val="center"/>
              <w:textAlignment w:val="center"/>
              <w:rPr>
                <w:rFonts w:hint="eastAsia" w:ascii="宋体" w:hAnsi="宋体"/>
                <w:b/>
                <w:szCs w:val="21"/>
              </w:rPr>
            </w:pPr>
            <w:r>
              <w:rPr>
                <w:rFonts w:hint="eastAsia" w:ascii="宋体" w:hAnsi="宋体"/>
                <w:b/>
                <w:szCs w:val="21"/>
              </w:rPr>
              <w:t>（套）</w:t>
            </w:r>
          </w:p>
        </w:tc>
        <w:tc>
          <w:tcPr>
            <w:tcW w:w="1479" w:type="dxa"/>
            <w:tcBorders>
              <w:top w:val="single" w:color="000000" w:sz="4" w:space="0"/>
              <w:left w:val="single" w:color="000000" w:sz="4" w:space="0"/>
              <w:bottom w:val="single" w:color="000000" w:sz="4" w:space="0"/>
              <w:right w:val="single" w:color="000000" w:sz="4" w:space="0"/>
            </w:tcBorders>
            <w:vAlign w:val="center"/>
          </w:tcPr>
          <w:p w14:paraId="1E612021">
            <w:pPr>
              <w:widowControl/>
              <w:jc w:val="center"/>
              <w:textAlignment w:val="center"/>
              <w:rPr>
                <w:rFonts w:hint="eastAsia" w:ascii="宋体" w:hAnsi="宋体"/>
                <w:b/>
                <w:szCs w:val="21"/>
              </w:rPr>
            </w:pPr>
            <w:r>
              <w:rPr>
                <w:rFonts w:hint="eastAsia" w:ascii="宋体" w:hAnsi="宋体"/>
                <w:b/>
                <w:szCs w:val="21"/>
              </w:rPr>
              <w:t>含税单价</w:t>
            </w:r>
          </w:p>
          <w:p w14:paraId="621D6104">
            <w:pPr>
              <w:widowControl/>
              <w:jc w:val="center"/>
              <w:textAlignment w:val="center"/>
              <w:rPr>
                <w:rFonts w:hint="eastAsia" w:ascii="宋体" w:hAnsi="宋体"/>
                <w:b/>
                <w:szCs w:val="21"/>
              </w:rPr>
            </w:pPr>
            <w:r>
              <w:rPr>
                <w:rFonts w:hint="eastAsia" w:ascii="宋体" w:hAnsi="宋体"/>
                <w:b/>
                <w:szCs w:val="21"/>
              </w:rPr>
              <w:t>(元)</w:t>
            </w:r>
          </w:p>
        </w:tc>
        <w:tc>
          <w:tcPr>
            <w:tcW w:w="1905" w:type="dxa"/>
            <w:tcBorders>
              <w:top w:val="single" w:color="000000" w:sz="4" w:space="0"/>
              <w:left w:val="single" w:color="000000" w:sz="4" w:space="0"/>
              <w:bottom w:val="single" w:color="000000" w:sz="4" w:space="0"/>
              <w:right w:val="single" w:color="000000" w:sz="4" w:space="0"/>
            </w:tcBorders>
            <w:vAlign w:val="center"/>
          </w:tcPr>
          <w:p w14:paraId="51826FA9">
            <w:pPr>
              <w:widowControl/>
              <w:jc w:val="center"/>
              <w:textAlignment w:val="center"/>
              <w:rPr>
                <w:rFonts w:hint="eastAsia" w:ascii="宋体" w:hAnsi="宋体"/>
                <w:b/>
                <w:szCs w:val="21"/>
              </w:rPr>
            </w:pPr>
            <w:r>
              <w:rPr>
                <w:rFonts w:hint="eastAsia" w:ascii="宋体" w:hAnsi="宋体"/>
                <w:b/>
                <w:szCs w:val="21"/>
              </w:rPr>
              <w:t>含税合价</w:t>
            </w:r>
          </w:p>
          <w:p w14:paraId="46184DD7">
            <w:pPr>
              <w:widowControl/>
              <w:jc w:val="center"/>
              <w:textAlignment w:val="center"/>
              <w:rPr>
                <w:rFonts w:hint="eastAsia" w:ascii="宋体" w:hAnsi="宋体"/>
                <w:b/>
                <w:szCs w:val="21"/>
              </w:rPr>
            </w:pPr>
            <w:r>
              <w:rPr>
                <w:rFonts w:hint="eastAsia" w:ascii="宋体" w:hAnsi="宋体"/>
                <w:b/>
                <w:szCs w:val="21"/>
              </w:rPr>
              <w:t>(元)</w:t>
            </w:r>
          </w:p>
        </w:tc>
        <w:tc>
          <w:tcPr>
            <w:tcW w:w="3440" w:type="dxa"/>
            <w:tcBorders>
              <w:top w:val="single" w:color="000000" w:sz="4" w:space="0"/>
              <w:left w:val="single" w:color="000000" w:sz="4" w:space="0"/>
              <w:bottom w:val="single" w:color="000000" w:sz="4" w:space="0"/>
              <w:right w:val="single" w:color="000000" w:sz="4" w:space="0"/>
            </w:tcBorders>
            <w:vAlign w:val="center"/>
          </w:tcPr>
          <w:p w14:paraId="7B6B70AD">
            <w:pPr>
              <w:widowControl/>
              <w:jc w:val="center"/>
              <w:textAlignment w:val="center"/>
              <w:rPr>
                <w:rFonts w:hint="eastAsia" w:ascii="宋体" w:hAnsi="宋体"/>
                <w:b/>
                <w:szCs w:val="21"/>
              </w:rPr>
            </w:pPr>
            <w:r>
              <w:rPr>
                <w:rFonts w:hint="eastAsia" w:ascii="宋体" w:hAnsi="宋体"/>
                <w:b/>
                <w:szCs w:val="21"/>
              </w:rPr>
              <w:t>备注</w:t>
            </w:r>
          </w:p>
        </w:tc>
      </w:tr>
      <w:tr w14:paraId="30C79290">
        <w:tblPrEx>
          <w:tblCellMar>
            <w:top w:w="0" w:type="dxa"/>
            <w:left w:w="108" w:type="dxa"/>
            <w:bottom w:w="0" w:type="dxa"/>
            <w:right w:w="108" w:type="dxa"/>
          </w:tblCellMar>
        </w:tblPrEx>
        <w:trPr>
          <w:trHeight w:val="640" w:hRule="atLeast"/>
          <w:jc w:val="center"/>
        </w:trPr>
        <w:tc>
          <w:tcPr>
            <w:tcW w:w="943" w:type="dxa"/>
            <w:tcBorders>
              <w:top w:val="single" w:color="000000" w:sz="4" w:space="0"/>
              <w:left w:val="single" w:color="000000" w:sz="8" w:space="0"/>
              <w:bottom w:val="single" w:color="000000" w:sz="4" w:space="0"/>
              <w:right w:val="single" w:color="auto" w:sz="4" w:space="0"/>
            </w:tcBorders>
            <w:vAlign w:val="center"/>
          </w:tcPr>
          <w:p w14:paraId="53E69DC2">
            <w:pPr>
              <w:jc w:val="center"/>
              <w:rPr>
                <w:rFonts w:hint="eastAsia" w:ascii="宋体" w:hAnsi="宋体"/>
                <w:bCs/>
                <w:szCs w:val="21"/>
              </w:rPr>
            </w:pPr>
            <w:r>
              <w:rPr>
                <w:rFonts w:hint="eastAsia" w:ascii="宋体" w:hAnsi="宋体"/>
                <w:bCs/>
                <w:szCs w:val="21"/>
              </w:rPr>
              <w:t>1</w:t>
            </w:r>
          </w:p>
        </w:tc>
        <w:tc>
          <w:tcPr>
            <w:tcW w:w="1572" w:type="dxa"/>
            <w:tcBorders>
              <w:top w:val="single" w:color="000000" w:sz="4" w:space="0"/>
              <w:left w:val="single" w:color="auto" w:sz="4" w:space="0"/>
              <w:bottom w:val="single" w:color="000000" w:sz="4" w:space="0"/>
              <w:right w:val="single" w:color="000000" w:sz="4" w:space="0"/>
            </w:tcBorders>
            <w:vAlign w:val="center"/>
          </w:tcPr>
          <w:p w14:paraId="09F115DC">
            <w:pPr>
              <w:spacing w:line="560" w:lineRule="exact"/>
              <w:jc w:val="center"/>
              <w:rPr>
                <w:rFonts w:eastAsia="仿宋"/>
              </w:rPr>
            </w:pPr>
            <w:r>
              <w:rPr>
                <w:rFonts w:hint="eastAsia" w:ascii="宋体" w:hAnsi="宋体"/>
                <w:bCs/>
                <w:szCs w:val="21"/>
              </w:rPr>
              <w:t>480KW充电堆</w:t>
            </w:r>
          </w:p>
        </w:tc>
        <w:tc>
          <w:tcPr>
            <w:tcW w:w="835" w:type="dxa"/>
            <w:tcBorders>
              <w:top w:val="single" w:color="000000" w:sz="4" w:space="0"/>
              <w:left w:val="single" w:color="000000" w:sz="4" w:space="0"/>
              <w:bottom w:val="single" w:color="000000" w:sz="4" w:space="0"/>
              <w:right w:val="single" w:color="000000" w:sz="8" w:space="0"/>
            </w:tcBorders>
            <w:vAlign w:val="center"/>
          </w:tcPr>
          <w:p w14:paraId="348E3BC4">
            <w:pPr>
              <w:jc w:val="center"/>
              <w:rPr>
                <w:rFonts w:hint="eastAsia" w:ascii="宋体" w:hAnsi="宋体" w:eastAsia="宋体"/>
                <w:bCs/>
                <w:szCs w:val="21"/>
                <w:lang w:eastAsia="zh-CN"/>
              </w:rPr>
            </w:pPr>
            <w:r>
              <w:rPr>
                <w:rFonts w:hint="eastAsia" w:ascii="宋体" w:hAnsi="宋体"/>
                <w:bCs/>
                <w:szCs w:val="21"/>
                <w:lang w:val="en-US" w:eastAsia="zh-CN"/>
              </w:rPr>
              <w:t>2</w:t>
            </w:r>
          </w:p>
        </w:tc>
        <w:tc>
          <w:tcPr>
            <w:tcW w:w="1479" w:type="dxa"/>
            <w:tcBorders>
              <w:top w:val="single" w:color="000000" w:sz="4" w:space="0"/>
              <w:left w:val="single" w:color="000000" w:sz="4" w:space="0"/>
              <w:bottom w:val="single" w:color="000000" w:sz="4" w:space="0"/>
              <w:right w:val="single" w:color="000000" w:sz="8" w:space="0"/>
            </w:tcBorders>
            <w:vAlign w:val="center"/>
          </w:tcPr>
          <w:p w14:paraId="18FF3DA1">
            <w:pPr>
              <w:widowControl/>
              <w:jc w:val="center"/>
              <w:rPr>
                <w:rFonts w:hint="eastAsia" w:ascii="宋体" w:hAnsi="宋体"/>
                <w:bCs/>
                <w:szCs w:val="21"/>
              </w:rPr>
            </w:pPr>
            <w:r>
              <w:rPr>
                <w:rFonts w:hint="eastAsia" w:ascii="宋体" w:hAnsi="宋体"/>
                <w:bCs/>
                <w:szCs w:val="21"/>
                <w:lang w:val="en-US" w:eastAsia="zh-CN" w:bidi="ar"/>
              </w:rPr>
              <w:t>175000</w:t>
            </w:r>
          </w:p>
        </w:tc>
        <w:tc>
          <w:tcPr>
            <w:tcW w:w="1905" w:type="dxa"/>
            <w:tcBorders>
              <w:top w:val="single" w:color="000000" w:sz="4" w:space="0"/>
              <w:left w:val="single" w:color="000000" w:sz="4" w:space="0"/>
              <w:bottom w:val="single" w:color="000000" w:sz="4" w:space="0"/>
              <w:right w:val="single" w:color="000000" w:sz="8" w:space="0"/>
            </w:tcBorders>
            <w:vAlign w:val="center"/>
          </w:tcPr>
          <w:p w14:paraId="26B760BF">
            <w:pPr>
              <w:jc w:val="center"/>
              <w:rPr>
                <w:rFonts w:hint="default" w:ascii="宋体" w:hAnsi="宋体" w:eastAsia="宋体"/>
                <w:bCs/>
                <w:szCs w:val="21"/>
                <w:lang w:val="en-US" w:eastAsia="zh-CN"/>
              </w:rPr>
            </w:pPr>
            <w:r>
              <w:rPr>
                <w:rFonts w:hint="eastAsia" w:ascii="宋体" w:hAnsi="宋体"/>
                <w:bCs/>
                <w:szCs w:val="21"/>
                <w:lang w:val="en-US" w:eastAsia="zh-CN"/>
              </w:rPr>
              <w:t>350000</w:t>
            </w:r>
          </w:p>
        </w:tc>
        <w:tc>
          <w:tcPr>
            <w:tcW w:w="3440" w:type="dxa"/>
            <w:tcBorders>
              <w:top w:val="single" w:color="000000" w:sz="4" w:space="0"/>
              <w:left w:val="single" w:color="000000" w:sz="4" w:space="0"/>
              <w:bottom w:val="single" w:color="000000" w:sz="4" w:space="0"/>
              <w:right w:val="single" w:color="000000" w:sz="8" w:space="0"/>
            </w:tcBorders>
            <w:vAlign w:val="center"/>
          </w:tcPr>
          <w:p w14:paraId="32DB51BD">
            <w:pPr>
              <w:widowControl/>
              <w:jc w:val="left"/>
              <w:rPr>
                <w:rFonts w:hint="eastAsia" w:ascii="宋体" w:hAnsi="宋体"/>
                <w:bCs/>
                <w:szCs w:val="21"/>
              </w:rPr>
            </w:pPr>
            <w:r>
              <w:rPr>
                <w:rFonts w:hint="eastAsia" w:ascii="宋体" w:hAnsi="宋体" w:eastAsia="宋体" w:cs="Times New Roman"/>
                <w:bCs/>
                <w:sz w:val="21"/>
                <w:szCs w:val="21"/>
              </w:rPr>
              <w:t>每套充电堆包含</w:t>
            </w:r>
            <w:r>
              <w:rPr>
                <w:rFonts w:hint="eastAsia" w:ascii="宋体" w:hAnsi="宋体" w:eastAsia="宋体" w:cs="Times New Roman"/>
                <w:bCs/>
                <w:sz w:val="21"/>
                <w:szCs w:val="21"/>
                <w:lang w:eastAsia="zh-CN"/>
              </w:rPr>
              <w:t>4</w:t>
            </w:r>
            <w:r>
              <w:rPr>
                <w:rFonts w:hint="eastAsia" w:ascii="宋体" w:hAnsi="宋体" w:eastAsia="宋体" w:cs="Times New Roman"/>
                <w:bCs/>
                <w:sz w:val="21"/>
                <w:szCs w:val="21"/>
                <w:lang w:val="en-US" w:eastAsia="zh-CN"/>
              </w:rPr>
              <w:t>台</w:t>
            </w:r>
            <w:r>
              <w:rPr>
                <w:rFonts w:hint="eastAsia" w:ascii="宋体" w:hAnsi="宋体" w:eastAsia="宋体" w:cs="Times New Roman"/>
                <w:bCs/>
                <w:sz w:val="21"/>
                <w:szCs w:val="21"/>
              </w:rPr>
              <w:t>普通充电</w:t>
            </w:r>
            <w:r>
              <w:rPr>
                <w:rFonts w:hint="eastAsia" w:ascii="宋体" w:hAnsi="宋体" w:eastAsia="宋体" w:cs="Times New Roman"/>
                <w:bCs/>
                <w:sz w:val="21"/>
                <w:szCs w:val="21"/>
                <w:lang w:val="en-US" w:eastAsia="zh-CN"/>
              </w:rPr>
              <w:t>桩</w:t>
            </w:r>
            <w:r>
              <w:rPr>
                <w:rFonts w:hint="eastAsia" w:ascii="宋体" w:hAnsi="宋体" w:eastAsia="宋体" w:cs="Times New Roman"/>
                <w:bCs/>
                <w:sz w:val="21"/>
                <w:szCs w:val="21"/>
              </w:rPr>
              <w:t>（单桩双枪）</w:t>
            </w:r>
          </w:p>
        </w:tc>
      </w:tr>
      <w:tr w14:paraId="48565DA3">
        <w:tblPrEx>
          <w:tblCellMar>
            <w:top w:w="0" w:type="dxa"/>
            <w:left w:w="108" w:type="dxa"/>
            <w:bottom w:w="0" w:type="dxa"/>
            <w:right w:w="108" w:type="dxa"/>
          </w:tblCellMar>
        </w:tblPrEx>
        <w:trPr>
          <w:trHeight w:val="825" w:hRule="atLeast"/>
          <w:jc w:val="center"/>
        </w:trPr>
        <w:tc>
          <w:tcPr>
            <w:tcW w:w="4829" w:type="dxa"/>
            <w:gridSpan w:val="4"/>
            <w:tcBorders>
              <w:top w:val="single" w:color="000000" w:sz="4" w:space="0"/>
              <w:left w:val="single" w:color="000000" w:sz="4" w:space="0"/>
              <w:bottom w:val="single" w:color="000000" w:sz="4" w:space="0"/>
              <w:right w:val="single" w:color="000000" w:sz="8" w:space="0"/>
            </w:tcBorders>
            <w:vAlign w:val="center"/>
          </w:tcPr>
          <w:p w14:paraId="37B09C56">
            <w:pPr>
              <w:jc w:val="center"/>
              <w:rPr>
                <w:rFonts w:hint="eastAsia" w:ascii="宋体" w:hAnsi="宋体"/>
                <w:b/>
                <w:szCs w:val="21"/>
              </w:rPr>
            </w:pPr>
            <w:r>
              <w:rPr>
                <w:rFonts w:hint="eastAsia" w:ascii="宋体" w:hAnsi="宋体"/>
                <w:b/>
                <w:szCs w:val="21"/>
              </w:rPr>
              <w:t>合计</w:t>
            </w:r>
          </w:p>
        </w:tc>
        <w:tc>
          <w:tcPr>
            <w:tcW w:w="1905" w:type="dxa"/>
            <w:tcBorders>
              <w:top w:val="single" w:color="000000" w:sz="4" w:space="0"/>
              <w:left w:val="single" w:color="auto" w:sz="4" w:space="0"/>
              <w:bottom w:val="single" w:color="000000" w:sz="4" w:space="0"/>
              <w:right w:val="single" w:color="000000" w:sz="8" w:space="0"/>
            </w:tcBorders>
            <w:vAlign w:val="center"/>
          </w:tcPr>
          <w:p w14:paraId="6124C9EE">
            <w:pPr>
              <w:widowControl/>
              <w:spacing w:line="560" w:lineRule="exact"/>
              <w:jc w:val="center"/>
              <w:rPr>
                <w:rFonts w:hint="eastAsia" w:ascii="宋体" w:hAnsi="宋体"/>
                <w:bCs/>
                <w:szCs w:val="21"/>
              </w:rPr>
            </w:pPr>
          </w:p>
          <w:p w14:paraId="33C7C1C3">
            <w:pPr>
              <w:jc w:val="center"/>
              <w:rPr>
                <w:rFonts w:hint="eastAsia" w:ascii="宋体" w:hAnsi="宋体"/>
                <w:b/>
                <w:szCs w:val="21"/>
              </w:rPr>
            </w:pPr>
          </w:p>
        </w:tc>
        <w:tc>
          <w:tcPr>
            <w:tcW w:w="3440" w:type="dxa"/>
            <w:tcBorders>
              <w:top w:val="single" w:color="000000" w:sz="4" w:space="0"/>
              <w:left w:val="single" w:color="000000" w:sz="4" w:space="0"/>
              <w:bottom w:val="single" w:color="000000" w:sz="4" w:space="0"/>
              <w:right w:val="single" w:color="000000" w:sz="8" w:space="0"/>
            </w:tcBorders>
            <w:vAlign w:val="center"/>
          </w:tcPr>
          <w:p w14:paraId="24033AC9">
            <w:pPr>
              <w:ind w:firstLine="422" w:firstLineChars="200"/>
              <w:jc w:val="center"/>
              <w:rPr>
                <w:rFonts w:hint="eastAsia" w:ascii="宋体" w:hAnsi="宋体"/>
                <w:b/>
                <w:szCs w:val="21"/>
              </w:rPr>
            </w:pPr>
          </w:p>
        </w:tc>
      </w:tr>
      <w:tr w14:paraId="5C283C23">
        <w:tblPrEx>
          <w:tblCellMar>
            <w:top w:w="0" w:type="dxa"/>
            <w:left w:w="108" w:type="dxa"/>
            <w:bottom w:w="0" w:type="dxa"/>
            <w:right w:w="108" w:type="dxa"/>
          </w:tblCellMar>
        </w:tblPrEx>
        <w:trPr>
          <w:trHeight w:val="825" w:hRule="atLeast"/>
          <w:jc w:val="center"/>
        </w:trPr>
        <w:tc>
          <w:tcPr>
            <w:tcW w:w="10174" w:type="dxa"/>
            <w:gridSpan w:val="6"/>
            <w:tcBorders>
              <w:top w:val="single" w:color="000000" w:sz="4" w:space="0"/>
              <w:left w:val="single" w:color="000000" w:sz="4" w:space="0"/>
              <w:bottom w:val="single" w:color="000000" w:sz="8" w:space="0"/>
              <w:right w:val="single" w:color="000000" w:sz="8" w:space="0"/>
            </w:tcBorders>
            <w:vAlign w:val="center"/>
          </w:tcPr>
          <w:p w14:paraId="5FBA79D4">
            <w:pPr>
              <w:jc w:val="left"/>
              <w:rPr>
                <w:rFonts w:hint="eastAsia" w:ascii="宋体" w:hAnsi="宋体"/>
                <w:bCs/>
                <w:szCs w:val="21"/>
                <w:lang w:bidi="ar"/>
              </w:rPr>
            </w:pPr>
            <w:r>
              <w:rPr>
                <w:rFonts w:hint="eastAsia" w:ascii="宋体" w:hAnsi="宋体"/>
                <w:bCs/>
                <w:szCs w:val="21"/>
                <w:lang w:bidi="ar"/>
              </w:rPr>
              <w:t>包含所有充电堆设备(含全部配件、备品备件、材料、专用工具)的设计费、设备费、仓储费、运输费、包装费、运杂费、吊装费、卸车费、临时保管费、人工费、保险费、调试费、税费、管理费、技术服务费、技术资料费、检测费、计量检定、质保及免费上门维护费等与比选申请人应承担的所有义务和所有工作的一切费用。</w:t>
            </w:r>
            <w:r>
              <w:rPr>
                <w:rFonts w:hint="eastAsia" w:ascii="宋体" w:hAnsi="宋体" w:eastAsia="宋体" w:cs="Times New Roman"/>
                <w:bCs/>
                <w:spacing w:val="0"/>
                <w:sz w:val="21"/>
                <w:szCs w:val="21"/>
                <w:lang w:val="en-US" w:eastAsia="zh-CN" w:bidi="ar"/>
              </w:rPr>
              <w:t>以上设备须接入</w:t>
            </w:r>
            <w:r>
              <w:rPr>
                <w:rFonts w:hint="eastAsia" w:ascii="宋体" w:hAnsi="宋体" w:cs="Times New Roman"/>
                <w:bCs/>
                <w:spacing w:val="0"/>
                <w:sz w:val="21"/>
                <w:szCs w:val="21"/>
                <w:lang w:val="en-US" w:eastAsia="zh-CN" w:bidi="ar"/>
              </w:rPr>
              <w:t>四川蜀道新能源科技发展有限公司</w:t>
            </w:r>
            <w:r>
              <w:rPr>
                <w:rFonts w:hint="eastAsia" w:ascii="宋体" w:hAnsi="宋体" w:eastAsia="宋体" w:cs="Times New Roman"/>
                <w:bCs/>
                <w:spacing w:val="0"/>
                <w:sz w:val="21"/>
                <w:szCs w:val="21"/>
                <w:lang w:val="en-US" w:eastAsia="zh-CN" w:bidi="ar"/>
              </w:rPr>
              <w:t>运营、监控管理平台</w:t>
            </w:r>
            <w:r>
              <w:rPr>
                <w:rFonts w:hint="eastAsia" w:ascii="宋体" w:hAnsi="宋体"/>
                <w:bCs/>
                <w:sz w:val="21"/>
                <w:szCs w:val="21"/>
                <w:lang w:bidi="ar"/>
              </w:rPr>
              <w:t>，</w:t>
            </w:r>
            <w:r>
              <w:rPr>
                <w:rFonts w:hint="eastAsia" w:ascii="宋体" w:hAnsi="宋体" w:eastAsia="宋体"/>
                <w:bCs/>
                <w:sz w:val="21"/>
                <w:szCs w:val="21"/>
                <w:lang w:val="en-US" w:eastAsia="zh-CN" w:bidi="ar"/>
              </w:rPr>
              <w:t>所产生的设备平台接入调试费用（若有）由报价人综合考虑一并计入设备单价和总价中</w:t>
            </w:r>
            <w:r>
              <w:rPr>
                <w:rFonts w:hint="eastAsia" w:ascii="宋体" w:hAnsi="宋体" w:eastAsia="宋体" w:cs="Times New Roman"/>
                <w:bCs/>
                <w:sz w:val="21"/>
                <w:szCs w:val="21"/>
                <w:lang w:val="en-US" w:eastAsia="zh-CN" w:bidi="ar"/>
              </w:rPr>
              <w:t>，设备平台接入调试费用发生时由</w:t>
            </w:r>
            <w:r>
              <w:rPr>
                <w:rFonts w:hint="eastAsia" w:ascii="宋体" w:hAnsi="宋体" w:cs="Times New Roman"/>
                <w:bCs/>
                <w:sz w:val="21"/>
                <w:szCs w:val="21"/>
                <w:lang w:val="en-US" w:eastAsia="zh-CN" w:bidi="ar"/>
              </w:rPr>
              <w:t>比选申请人</w:t>
            </w:r>
            <w:r>
              <w:rPr>
                <w:rFonts w:hint="eastAsia" w:ascii="宋体" w:hAnsi="宋体" w:eastAsia="宋体" w:cs="Times New Roman"/>
                <w:bCs/>
                <w:sz w:val="21"/>
                <w:szCs w:val="21"/>
                <w:lang w:val="en-US" w:eastAsia="zh-CN" w:bidi="ar"/>
              </w:rPr>
              <w:t>直接向第三方支付。</w:t>
            </w:r>
          </w:p>
          <w:p w14:paraId="423C78BC">
            <w:pPr>
              <w:pStyle w:val="2"/>
              <w:ind w:left="0" w:leftChars="0" w:firstLine="0" w:firstLineChars="0"/>
              <w:rPr>
                <w:rFonts w:hint="eastAsia"/>
              </w:rPr>
            </w:pPr>
          </w:p>
        </w:tc>
      </w:tr>
    </w:tbl>
    <w:p w14:paraId="41849B0D">
      <w:pPr>
        <w:pStyle w:val="2"/>
        <w:spacing w:after="0"/>
        <w:ind w:left="0" w:leftChars="0" w:firstLine="0" w:firstLineChars="0"/>
        <w:rPr>
          <w:rFonts w:hint="eastAsia" w:hAnsi="宋体"/>
          <w:b/>
          <w:bCs/>
          <w:kern w:val="44"/>
          <w:sz w:val="48"/>
          <w:szCs w:val="48"/>
        </w:rPr>
        <w:sectPr>
          <w:pgSz w:w="11911" w:h="16849"/>
          <w:pgMar w:top="1134" w:right="1474" w:bottom="1418" w:left="1134" w:header="850" w:footer="850" w:gutter="0"/>
          <w:pgNumType w:fmt="decimal"/>
          <w:cols w:space="720" w:num="1"/>
          <w:docGrid w:linePitch="286" w:charSpace="0"/>
        </w:sectPr>
      </w:pPr>
    </w:p>
    <w:p w14:paraId="3661291C">
      <w:pPr>
        <w:pStyle w:val="5"/>
        <w:keepLines/>
        <w:spacing w:line="360" w:lineRule="auto"/>
        <w:jc w:val="center"/>
        <w:rPr>
          <w:rFonts w:ascii="宋体"/>
          <w:b/>
          <w:bCs/>
          <w:kern w:val="44"/>
          <w:sz w:val="48"/>
          <w:szCs w:val="48"/>
          <w:u w:val="none"/>
        </w:rPr>
      </w:pPr>
      <w:bookmarkStart w:id="54" w:name="_Toc15481"/>
      <w:bookmarkStart w:id="55" w:name="_Toc22919"/>
      <w:bookmarkStart w:id="56" w:name="_Toc3263"/>
      <w:bookmarkStart w:id="57" w:name="_Toc18245"/>
      <w:bookmarkStart w:id="58" w:name="_Toc17951"/>
      <w:r>
        <w:rPr>
          <w:rFonts w:hint="eastAsia" w:ascii="宋体" w:hAnsi="宋体"/>
          <w:b/>
          <w:bCs/>
          <w:kern w:val="44"/>
          <w:sz w:val="48"/>
          <w:szCs w:val="48"/>
          <w:u w:val="none"/>
        </w:rPr>
        <w:t>第七章  比选申请文件格式</w:t>
      </w:r>
      <w:bookmarkEnd w:id="53"/>
      <w:bookmarkEnd w:id="54"/>
      <w:bookmarkEnd w:id="55"/>
      <w:bookmarkEnd w:id="56"/>
      <w:bookmarkEnd w:id="57"/>
      <w:bookmarkEnd w:id="58"/>
    </w:p>
    <w:p w14:paraId="4872F641">
      <w:pPr>
        <w:spacing w:line="360" w:lineRule="auto"/>
        <w:rPr>
          <w:rFonts w:ascii="仿宋_GB2312" w:eastAsia="仿宋_GB2312"/>
          <w:sz w:val="28"/>
          <w:szCs w:val="28"/>
        </w:rPr>
      </w:pPr>
    </w:p>
    <w:p w14:paraId="659DF89C">
      <w:pPr>
        <w:pStyle w:val="2"/>
      </w:pPr>
    </w:p>
    <w:p w14:paraId="1E01131F">
      <w:pPr>
        <w:snapToGrid w:val="0"/>
        <w:jc w:val="center"/>
        <w:rPr>
          <w:rFonts w:hint="eastAsia" w:ascii="宋体" w:hAnsi="宋体"/>
          <w:b/>
          <w:bCs/>
          <w:spacing w:val="20"/>
          <w:w w:val="80"/>
          <w:sz w:val="52"/>
          <w:szCs w:val="52"/>
        </w:rPr>
      </w:pPr>
      <w:r>
        <w:rPr>
          <w:rFonts w:hint="eastAsia" w:ascii="宋体" w:hAnsi="宋体"/>
          <w:b/>
          <w:bCs/>
          <w:spacing w:val="20"/>
          <w:w w:val="80"/>
          <w:sz w:val="52"/>
          <w:szCs w:val="52"/>
        </w:rPr>
        <w:t>四川蜀道新能源科技发展有限公司</w:t>
      </w:r>
    </w:p>
    <w:p w14:paraId="2A474E93">
      <w:pPr>
        <w:spacing w:line="360" w:lineRule="auto"/>
        <w:jc w:val="center"/>
        <w:rPr>
          <w:rFonts w:hint="eastAsia" w:ascii="宋体" w:hAnsi="宋体"/>
          <w:b/>
          <w:bCs/>
          <w:spacing w:val="20"/>
          <w:w w:val="80"/>
          <w:sz w:val="52"/>
          <w:szCs w:val="52"/>
        </w:rPr>
      </w:pPr>
      <w:r>
        <w:rPr>
          <w:rFonts w:hint="eastAsia" w:ascii="宋体" w:hAnsi="宋体" w:cs="Times New Roman"/>
          <w:b/>
          <w:bCs/>
          <w:spacing w:val="20"/>
          <w:w w:val="80"/>
          <w:kern w:val="2"/>
          <w:sz w:val="52"/>
          <w:szCs w:val="52"/>
          <w:lang w:eastAsia="zh-CN"/>
        </w:rPr>
        <w:t>绵九高速柴门关服务区充电站新建项目充电设备采购</w:t>
      </w:r>
    </w:p>
    <w:p w14:paraId="2B4D079F">
      <w:pPr>
        <w:spacing w:line="360" w:lineRule="auto"/>
        <w:jc w:val="center"/>
        <w:rPr>
          <w:rFonts w:eastAsia="黑体"/>
          <w:sz w:val="48"/>
        </w:rPr>
      </w:pPr>
    </w:p>
    <w:p w14:paraId="452A2A70">
      <w:pPr>
        <w:spacing w:line="360" w:lineRule="auto"/>
        <w:jc w:val="center"/>
        <w:rPr>
          <w:rFonts w:eastAsia="黑体"/>
          <w:sz w:val="48"/>
        </w:rPr>
      </w:pPr>
    </w:p>
    <w:p w14:paraId="7DAAF60E">
      <w:pPr>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比选申请文件</w:t>
      </w:r>
    </w:p>
    <w:p w14:paraId="22AE8274">
      <w:pPr>
        <w:spacing w:line="360" w:lineRule="auto"/>
        <w:jc w:val="center"/>
        <w:rPr>
          <w:rFonts w:eastAsia="黑体"/>
          <w:sz w:val="32"/>
        </w:rPr>
      </w:pPr>
    </w:p>
    <w:p w14:paraId="1BCF704A">
      <w:pPr>
        <w:spacing w:line="360" w:lineRule="auto"/>
        <w:rPr>
          <w:rFonts w:eastAsia="黑体"/>
          <w:sz w:val="32"/>
        </w:rPr>
      </w:pPr>
    </w:p>
    <w:p w14:paraId="001379B0">
      <w:pPr>
        <w:spacing w:line="360" w:lineRule="auto"/>
        <w:jc w:val="center"/>
        <w:rPr>
          <w:rFonts w:eastAsia="黑体"/>
          <w:sz w:val="32"/>
        </w:rPr>
      </w:pPr>
    </w:p>
    <w:p w14:paraId="7C9FD217">
      <w:pPr>
        <w:spacing w:line="360" w:lineRule="auto"/>
        <w:jc w:val="center"/>
        <w:rPr>
          <w:rFonts w:eastAsia="黑体"/>
          <w:sz w:val="32"/>
        </w:rPr>
      </w:pPr>
    </w:p>
    <w:p w14:paraId="1A4BBB3B">
      <w:pPr>
        <w:spacing w:line="480" w:lineRule="auto"/>
        <w:jc w:val="center"/>
        <w:rPr>
          <w:rFonts w:ascii="宋体"/>
          <w:b/>
          <w:sz w:val="32"/>
          <w:szCs w:val="32"/>
        </w:rPr>
      </w:pPr>
      <w:r>
        <w:rPr>
          <w:rFonts w:hint="eastAsia" w:ascii="宋体" w:hAnsi="宋体"/>
          <w:b/>
          <w:sz w:val="32"/>
          <w:szCs w:val="32"/>
        </w:rPr>
        <w:t>比选申请人：</w:t>
      </w:r>
      <w:r>
        <w:rPr>
          <w:rFonts w:hint="eastAsia" w:ascii="宋体" w:hAnsi="宋体"/>
          <w:b/>
          <w:sz w:val="32"/>
          <w:szCs w:val="32"/>
          <w:u w:val="single"/>
        </w:rPr>
        <w:t xml:space="preserve">            （单位全称）</w:t>
      </w:r>
      <w:r>
        <w:rPr>
          <w:rFonts w:hint="eastAsia" w:ascii="宋体" w:hAnsi="宋体"/>
          <w:b/>
          <w:sz w:val="32"/>
          <w:szCs w:val="32"/>
        </w:rPr>
        <w:t>（盖单位章）</w:t>
      </w:r>
    </w:p>
    <w:p w14:paraId="665A860C">
      <w:pPr>
        <w:spacing w:line="480" w:lineRule="auto"/>
        <w:jc w:val="center"/>
        <w:rPr>
          <w:rFonts w:ascii="宋体"/>
          <w:b/>
          <w:sz w:val="32"/>
          <w:szCs w:val="32"/>
        </w:rPr>
      </w:pPr>
      <w:r>
        <w:rPr>
          <w:rFonts w:hint="eastAsia" w:ascii="宋体" w:hAnsi="宋体"/>
          <w:b/>
          <w:sz w:val="32"/>
          <w:szCs w:val="32"/>
        </w:rPr>
        <w:t>年  月   日</w:t>
      </w:r>
    </w:p>
    <w:p w14:paraId="39D55C5E">
      <w:pPr>
        <w:pStyle w:val="15"/>
        <w:spacing w:line="360" w:lineRule="auto"/>
        <w:jc w:val="center"/>
        <w:rPr>
          <w:rFonts w:hint="eastAsia" w:hAnsi="宋体"/>
          <w:b/>
          <w:bCs/>
          <w:sz w:val="44"/>
          <w:szCs w:val="44"/>
        </w:rPr>
      </w:pPr>
      <w:bookmarkStart w:id="59" w:name="_Toc197944303"/>
      <w:bookmarkStart w:id="60" w:name="_Toc206521571"/>
    </w:p>
    <w:p w14:paraId="49454C1A"/>
    <w:p w14:paraId="02856601"/>
    <w:p w14:paraId="52A6DEB2"/>
    <w:p w14:paraId="66BA448E">
      <w:pPr>
        <w:pStyle w:val="44"/>
      </w:pPr>
    </w:p>
    <w:p w14:paraId="12E4F007">
      <w:pPr>
        <w:pStyle w:val="44"/>
      </w:pPr>
    </w:p>
    <w:p w14:paraId="73D8FA5B">
      <w:pPr>
        <w:pStyle w:val="44"/>
      </w:pPr>
    </w:p>
    <w:p w14:paraId="66096FA4">
      <w:pPr>
        <w:pStyle w:val="44"/>
      </w:pPr>
    </w:p>
    <w:p w14:paraId="130CC6B7">
      <w:pPr>
        <w:pStyle w:val="44"/>
      </w:pPr>
    </w:p>
    <w:p w14:paraId="6C300FAD">
      <w:pPr>
        <w:pStyle w:val="44"/>
      </w:pPr>
    </w:p>
    <w:p w14:paraId="0AD65EB4">
      <w:pPr>
        <w:pStyle w:val="15"/>
        <w:spacing w:line="360" w:lineRule="auto"/>
        <w:jc w:val="center"/>
        <w:rPr>
          <w:rFonts w:hint="eastAsia" w:hAnsi="宋体"/>
          <w:b/>
          <w:sz w:val="44"/>
          <w:szCs w:val="44"/>
        </w:rPr>
      </w:pPr>
      <w:r>
        <w:rPr>
          <w:rFonts w:hint="eastAsia" w:hAnsi="宋体"/>
          <w:b/>
          <w:bCs/>
          <w:sz w:val="44"/>
          <w:szCs w:val="44"/>
        </w:rPr>
        <w:t>目录</w:t>
      </w:r>
      <w:bookmarkEnd w:id="59"/>
      <w:bookmarkEnd w:id="60"/>
    </w:p>
    <w:p w14:paraId="5CFBE6CC"/>
    <w:p w14:paraId="46D1FDEB">
      <w:pPr>
        <w:spacing w:line="348" w:lineRule="auto"/>
        <w:ind w:firstLine="640" w:firstLineChars="200"/>
        <w:rPr>
          <w:sz w:val="32"/>
          <w:szCs w:val="32"/>
        </w:rPr>
      </w:pPr>
      <w:r>
        <w:rPr>
          <w:rFonts w:hint="eastAsia"/>
          <w:sz w:val="32"/>
          <w:szCs w:val="32"/>
        </w:rPr>
        <w:t>一、比选申请函及附录</w:t>
      </w:r>
    </w:p>
    <w:p w14:paraId="01070A19">
      <w:pPr>
        <w:spacing w:line="348" w:lineRule="auto"/>
        <w:ind w:firstLine="640" w:firstLineChars="200"/>
        <w:rPr>
          <w:sz w:val="32"/>
          <w:szCs w:val="32"/>
        </w:rPr>
      </w:pPr>
      <w:r>
        <w:rPr>
          <w:rFonts w:hint="eastAsia"/>
          <w:sz w:val="32"/>
          <w:szCs w:val="32"/>
        </w:rPr>
        <w:t>二、法定代表人身份证明及授权委托书</w:t>
      </w:r>
    </w:p>
    <w:p w14:paraId="061B1FE0">
      <w:pPr>
        <w:spacing w:line="360" w:lineRule="auto"/>
        <w:ind w:firstLine="640" w:firstLineChars="200"/>
        <w:rPr>
          <w:rFonts w:ascii="宋体" w:hAnsi="Courier New"/>
          <w:sz w:val="32"/>
          <w:szCs w:val="32"/>
        </w:rPr>
      </w:pPr>
      <w:r>
        <w:rPr>
          <w:rFonts w:hint="eastAsia"/>
          <w:sz w:val="32"/>
          <w:szCs w:val="32"/>
        </w:rPr>
        <w:t>三、技术方案</w:t>
      </w:r>
    </w:p>
    <w:p w14:paraId="59A29018">
      <w:pPr>
        <w:spacing w:line="360" w:lineRule="auto"/>
        <w:ind w:firstLine="640" w:firstLineChars="200"/>
        <w:rPr>
          <w:rFonts w:ascii="宋体" w:hAnsi="Courier New"/>
          <w:sz w:val="32"/>
          <w:szCs w:val="32"/>
        </w:rPr>
      </w:pPr>
      <w:r>
        <w:rPr>
          <w:rFonts w:hint="eastAsia" w:ascii="宋体" w:hAnsi="Courier New"/>
          <w:sz w:val="32"/>
          <w:szCs w:val="32"/>
        </w:rPr>
        <w:t>四、资格审查资料</w:t>
      </w:r>
    </w:p>
    <w:p w14:paraId="4C7EC523">
      <w:pPr>
        <w:spacing w:line="360" w:lineRule="auto"/>
        <w:ind w:firstLine="640" w:firstLineChars="200"/>
        <w:rPr>
          <w:rFonts w:ascii="宋体" w:hAnsi="Courier New"/>
          <w:sz w:val="32"/>
          <w:szCs w:val="32"/>
        </w:rPr>
      </w:pPr>
      <w:r>
        <w:rPr>
          <w:rFonts w:hint="eastAsia" w:ascii="宋体" w:hAnsi="Courier New"/>
          <w:sz w:val="32"/>
          <w:szCs w:val="32"/>
        </w:rPr>
        <w:t>五、其他资料</w:t>
      </w:r>
    </w:p>
    <w:p w14:paraId="365DB731">
      <w:pPr>
        <w:spacing w:line="360" w:lineRule="auto"/>
        <w:ind w:firstLine="640" w:firstLineChars="200"/>
        <w:rPr>
          <w:rFonts w:hint="eastAsia" w:ascii="宋体" w:hAnsi="Courier New"/>
          <w:sz w:val="32"/>
          <w:szCs w:val="32"/>
        </w:rPr>
      </w:pPr>
      <w:r>
        <w:rPr>
          <w:rFonts w:hint="eastAsia" w:ascii="宋体" w:hAnsi="Courier New"/>
          <w:sz w:val="32"/>
          <w:szCs w:val="32"/>
        </w:rPr>
        <w:t>六、费用报价单</w:t>
      </w:r>
    </w:p>
    <w:p w14:paraId="79CACC68">
      <w:pPr>
        <w:spacing w:line="360" w:lineRule="auto"/>
        <w:ind w:firstLine="640" w:firstLineChars="200"/>
        <w:rPr>
          <w:rFonts w:hint="eastAsia" w:ascii="宋体" w:hAnsi="Courier New" w:eastAsia="宋体" w:cs="Times New Roman"/>
          <w:sz w:val="32"/>
          <w:szCs w:val="32"/>
        </w:rPr>
      </w:pPr>
      <w:r>
        <w:rPr>
          <w:rFonts w:hint="eastAsia" w:ascii="宋体" w:hAnsi="Courier New" w:eastAsia="宋体" w:cs="Times New Roman"/>
          <w:sz w:val="32"/>
          <w:szCs w:val="32"/>
          <w:lang w:val="en-US" w:eastAsia="zh-CN"/>
        </w:rPr>
        <w:t>七、</w:t>
      </w:r>
      <w:r>
        <w:rPr>
          <w:rFonts w:hint="eastAsia" w:ascii="宋体" w:hAnsi="Courier New" w:eastAsia="宋体" w:cs="Times New Roman"/>
          <w:sz w:val="32"/>
          <w:szCs w:val="32"/>
        </w:rPr>
        <w:t>设备</w:t>
      </w:r>
      <w:r>
        <w:rPr>
          <w:rFonts w:hint="eastAsia" w:ascii="宋体" w:hAnsi="Courier New" w:eastAsia="宋体" w:cs="Times New Roman"/>
          <w:sz w:val="32"/>
          <w:szCs w:val="32"/>
          <w:lang w:val="en-US" w:eastAsia="zh-CN"/>
        </w:rPr>
        <w:t>主要参数和要求</w:t>
      </w:r>
      <w:r>
        <w:rPr>
          <w:rFonts w:hint="eastAsia" w:ascii="宋体" w:hAnsi="Courier New" w:eastAsia="宋体" w:cs="Times New Roman"/>
          <w:sz w:val="32"/>
          <w:szCs w:val="32"/>
        </w:rPr>
        <w:t>响应表</w:t>
      </w:r>
    </w:p>
    <w:p w14:paraId="689DBCF4">
      <w:pPr>
        <w:pStyle w:val="2"/>
        <w:rPr>
          <w:rFonts w:hint="eastAsia"/>
        </w:rPr>
      </w:pPr>
    </w:p>
    <w:p w14:paraId="4449A6B8">
      <w:pPr>
        <w:pStyle w:val="15"/>
        <w:rPr>
          <w:rFonts w:hint="eastAsia" w:hAnsi="宋体"/>
          <w:b/>
          <w:sz w:val="32"/>
          <w:szCs w:val="32"/>
        </w:rPr>
      </w:pPr>
    </w:p>
    <w:p w14:paraId="588DCB77">
      <w:pPr>
        <w:pStyle w:val="15"/>
        <w:rPr>
          <w:rFonts w:hint="eastAsia" w:hAnsi="宋体"/>
          <w:b/>
          <w:sz w:val="32"/>
          <w:szCs w:val="32"/>
        </w:rPr>
      </w:pPr>
    </w:p>
    <w:p w14:paraId="52C38047">
      <w:pPr>
        <w:pStyle w:val="15"/>
        <w:rPr>
          <w:rFonts w:hint="eastAsia" w:hAnsi="宋体"/>
          <w:b/>
          <w:sz w:val="32"/>
          <w:szCs w:val="32"/>
        </w:rPr>
      </w:pPr>
    </w:p>
    <w:p w14:paraId="311CFAC9">
      <w:pPr>
        <w:pStyle w:val="15"/>
        <w:rPr>
          <w:rFonts w:hint="eastAsia" w:hAnsi="宋体"/>
          <w:b/>
          <w:sz w:val="32"/>
          <w:szCs w:val="32"/>
        </w:rPr>
      </w:pPr>
    </w:p>
    <w:p w14:paraId="3FCDC670">
      <w:pPr>
        <w:pStyle w:val="15"/>
        <w:rPr>
          <w:rFonts w:hint="eastAsia" w:hAnsi="宋体"/>
          <w:b/>
          <w:sz w:val="32"/>
          <w:szCs w:val="32"/>
        </w:rPr>
      </w:pPr>
    </w:p>
    <w:p w14:paraId="54429339">
      <w:pPr>
        <w:pStyle w:val="15"/>
        <w:rPr>
          <w:rFonts w:hint="eastAsia" w:hAnsi="宋体"/>
          <w:b/>
          <w:sz w:val="32"/>
          <w:szCs w:val="32"/>
        </w:rPr>
      </w:pPr>
    </w:p>
    <w:p w14:paraId="1916D810">
      <w:pPr>
        <w:pStyle w:val="15"/>
        <w:rPr>
          <w:rFonts w:hint="eastAsia" w:hAnsi="宋体"/>
          <w:b/>
          <w:sz w:val="32"/>
          <w:szCs w:val="32"/>
        </w:rPr>
      </w:pPr>
    </w:p>
    <w:p w14:paraId="1C6B95F0">
      <w:pPr>
        <w:pStyle w:val="15"/>
        <w:rPr>
          <w:rFonts w:hint="eastAsia" w:hAnsi="宋体"/>
          <w:b/>
          <w:sz w:val="32"/>
          <w:szCs w:val="32"/>
        </w:rPr>
      </w:pPr>
    </w:p>
    <w:p w14:paraId="6663CD89">
      <w:pPr>
        <w:pStyle w:val="15"/>
        <w:rPr>
          <w:rFonts w:hint="eastAsia" w:hAnsi="宋体"/>
          <w:b/>
          <w:sz w:val="32"/>
          <w:szCs w:val="32"/>
        </w:rPr>
      </w:pPr>
    </w:p>
    <w:p w14:paraId="1DD0E733">
      <w:pPr>
        <w:pStyle w:val="15"/>
        <w:rPr>
          <w:rFonts w:hint="eastAsia" w:hAnsi="宋体"/>
          <w:b/>
          <w:sz w:val="32"/>
          <w:szCs w:val="32"/>
        </w:rPr>
      </w:pPr>
    </w:p>
    <w:p w14:paraId="72424E9D">
      <w:pPr>
        <w:pStyle w:val="15"/>
        <w:rPr>
          <w:rFonts w:hint="eastAsia" w:hAnsi="宋体"/>
          <w:b/>
          <w:sz w:val="32"/>
          <w:szCs w:val="32"/>
        </w:rPr>
      </w:pPr>
    </w:p>
    <w:p w14:paraId="74CEDAFD">
      <w:pPr>
        <w:pStyle w:val="15"/>
        <w:rPr>
          <w:rFonts w:hint="eastAsia" w:hAnsi="宋体"/>
          <w:b/>
          <w:sz w:val="32"/>
          <w:szCs w:val="32"/>
        </w:rPr>
      </w:pPr>
    </w:p>
    <w:p w14:paraId="3EB402CA">
      <w:pPr>
        <w:pStyle w:val="7"/>
      </w:pPr>
      <w:r>
        <w:rPr>
          <w:rFonts w:hint="eastAsia"/>
        </w:rPr>
        <w:t>一、比选申请函及附录</w:t>
      </w:r>
    </w:p>
    <w:p w14:paraId="1ADBC1FF">
      <w:pPr>
        <w:pStyle w:val="15"/>
        <w:jc w:val="center"/>
        <w:rPr>
          <w:rFonts w:hint="eastAsia" w:hAnsi="宋体"/>
          <w:b/>
          <w:sz w:val="28"/>
          <w:szCs w:val="28"/>
        </w:rPr>
      </w:pPr>
    </w:p>
    <w:p w14:paraId="7BAE1977">
      <w:pPr>
        <w:pStyle w:val="8"/>
      </w:pPr>
      <w:r>
        <w:t xml:space="preserve">1-1 </w:t>
      </w:r>
      <w:r>
        <w:rPr>
          <w:rFonts w:hint="eastAsia"/>
        </w:rPr>
        <w:t>比选申请函</w:t>
      </w:r>
    </w:p>
    <w:p w14:paraId="6113F585">
      <w:pPr>
        <w:pStyle w:val="15"/>
        <w:spacing w:line="440" w:lineRule="exact"/>
        <w:rPr>
          <w:rFonts w:hint="eastAsia" w:hAnsi="宋体" w:cs="宋体"/>
          <w:sz w:val="24"/>
          <w:szCs w:val="24"/>
        </w:rPr>
      </w:pPr>
    </w:p>
    <w:p w14:paraId="55BEE2EE">
      <w:pPr>
        <w:pStyle w:val="15"/>
        <w:spacing w:line="440" w:lineRule="exact"/>
        <w:rPr>
          <w:rFonts w:hint="eastAsia" w:hAnsi="宋体" w:cs="宋体"/>
          <w:sz w:val="24"/>
          <w:szCs w:val="24"/>
          <w:u w:val="single"/>
        </w:rPr>
      </w:pPr>
      <w:r>
        <w:rPr>
          <w:rFonts w:hint="eastAsia" w:hAnsi="宋体" w:cs="宋体"/>
          <w:sz w:val="24"/>
          <w:szCs w:val="24"/>
          <w:u w:val="single"/>
        </w:rPr>
        <w:t xml:space="preserve">        （比选人名称） ：</w:t>
      </w:r>
    </w:p>
    <w:p w14:paraId="1714A8B8">
      <w:pPr>
        <w:spacing w:line="440" w:lineRule="exact"/>
        <w:ind w:firstLine="480" w:firstLineChars="200"/>
        <w:rPr>
          <w:rFonts w:hint="eastAsia" w:ascii="宋体" w:hAnsi="宋体" w:cs="宋体"/>
          <w:sz w:val="24"/>
        </w:rPr>
      </w:pPr>
      <w:r>
        <w:rPr>
          <w:rFonts w:hint="eastAsia" w:ascii="宋体" w:hAnsi="宋体" w:cs="宋体"/>
          <w:sz w:val="24"/>
        </w:rPr>
        <w:t>1.我方已仔细研究了</w:t>
      </w:r>
      <w:r>
        <w:rPr>
          <w:rFonts w:hint="eastAsia" w:ascii="宋体" w:hAnsi="宋体" w:cs="宋体"/>
          <w:sz w:val="24"/>
          <w:u w:val="single"/>
        </w:rPr>
        <w:t xml:space="preserve">   （项目名称）  </w:t>
      </w:r>
      <w:r>
        <w:rPr>
          <w:rFonts w:hint="eastAsia" w:ascii="宋体" w:hAnsi="宋体" w:cs="宋体"/>
          <w:sz w:val="24"/>
        </w:rPr>
        <w:t>比选文件的全部内容（含补遗书）后，愿意以人民币</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，含增值税专用发票</w:t>
      </w:r>
      <w:r>
        <w:rPr>
          <w:rFonts w:hint="eastAsia" w:ascii="宋体" w:hAnsi="宋体" w:cs="宋体"/>
          <w:sz w:val="24"/>
          <w:u w:val="single"/>
        </w:rPr>
        <w:t xml:space="preserve">   </w:t>
      </w:r>
      <w:r>
        <w:rPr>
          <w:rFonts w:hint="eastAsia" w:ascii="宋体" w:hAnsi="宋体" w:cs="宋体"/>
          <w:sz w:val="24"/>
        </w:rPr>
        <w:t>%）（小数点保留2位）作为总报价，按合同约定实施和完成所有工作内容、提交符合合同约定的产品设备。</w:t>
      </w:r>
    </w:p>
    <w:p w14:paraId="0E994FAC">
      <w:pPr>
        <w:pStyle w:val="14"/>
        <w:spacing w:after="0" w:line="440" w:lineRule="exact"/>
        <w:ind w:firstLine="468" w:firstLineChars="200"/>
        <w:rPr>
          <w:rFonts w:hint="eastAsia" w:ascii="宋体" w:hAnsi="宋体" w:cs="宋体"/>
          <w:sz w:val="24"/>
        </w:rPr>
      </w:pPr>
      <w:r>
        <w:rPr>
          <w:rFonts w:hint="eastAsia" w:ascii="宋体" w:hAnsi="宋体" w:cs="宋体"/>
          <w:spacing w:val="-3"/>
          <w:sz w:val="24"/>
        </w:rPr>
        <w:t>2.在合同协议书正式签署生效之前，本申请函连同你方的中选通知书将构成我</w:t>
      </w:r>
      <w:r>
        <w:rPr>
          <w:rFonts w:hint="eastAsia" w:ascii="宋体" w:hAnsi="宋体" w:cs="宋体"/>
          <w:sz w:val="24"/>
        </w:rPr>
        <w:t>们双方之间共同遵守的文件，对双方具有约束力。</w:t>
      </w:r>
    </w:p>
    <w:p w14:paraId="2A922F22">
      <w:pPr>
        <w:spacing w:line="440" w:lineRule="exact"/>
        <w:ind w:firstLine="480" w:firstLineChars="200"/>
        <w:rPr>
          <w:rFonts w:hint="eastAsia" w:ascii="宋体" w:hAnsi="宋体" w:cs="宋体"/>
          <w:bCs/>
          <w:sz w:val="24"/>
        </w:rPr>
      </w:pPr>
      <w:r>
        <w:rPr>
          <w:rFonts w:hint="eastAsia" w:ascii="宋体" w:hAnsi="宋体" w:cs="宋体"/>
          <w:sz w:val="24"/>
        </w:rPr>
        <w:t>3.</w:t>
      </w:r>
      <w:r>
        <w:rPr>
          <w:rFonts w:hint="eastAsia" w:ascii="宋体" w:hAnsi="宋体" w:cs="宋体"/>
          <w:bCs/>
          <w:sz w:val="24"/>
        </w:rPr>
        <w:t>我方承诺在比选文件规定的比选</w:t>
      </w:r>
      <w:r>
        <w:rPr>
          <w:rFonts w:hint="eastAsia" w:ascii="宋体" w:hAnsi="宋体" w:cs="宋体"/>
          <w:bCs/>
          <w:sz w:val="24"/>
          <w:lang w:val="en-US" w:eastAsia="zh-CN"/>
        </w:rPr>
        <w:t>申请</w:t>
      </w:r>
      <w:r>
        <w:rPr>
          <w:rFonts w:hint="eastAsia" w:ascii="宋体" w:hAnsi="宋体" w:cs="宋体"/>
          <w:bCs/>
          <w:sz w:val="24"/>
        </w:rPr>
        <w:t>文件递交截止日期后不撤销比选申请文件。</w:t>
      </w:r>
    </w:p>
    <w:p w14:paraId="4527074A">
      <w:pPr>
        <w:spacing w:line="440" w:lineRule="exact"/>
        <w:ind w:firstLine="420"/>
        <w:rPr>
          <w:rFonts w:hint="eastAsia" w:ascii="宋体" w:hAnsi="宋体" w:cs="宋体"/>
          <w:sz w:val="24"/>
        </w:rPr>
      </w:pPr>
      <w:r>
        <w:rPr>
          <w:rFonts w:hint="eastAsia" w:ascii="宋体" w:hAnsi="宋体" w:cs="宋体"/>
          <w:sz w:val="24"/>
        </w:rPr>
        <w:t>4.如我方中选，我方承诺：</w:t>
      </w:r>
    </w:p>
    <w:p w14:paraId="054F76DB">
      <w:pPr>
        <w:spacing w:line="440" w:lineRule="exact"/>
        <w:ind w:firstLine="480" w:firstLineChars="200"/>
        <w:rPr>
          <w:rFonts w:hint="eastAsia" w:ascii="宋体" w:hAnsi="宋体" w:cs="宋体"/>
          <w:sz w:val="24"/>
        </w:rPr>
      </w:pPr>
      <w:r>
        <w:rPr>
          <w:rFonts w:hint="eastAsia" w:ascii="宋体" w:hAnsi="宋体" w:cs="宋体"/>
          <w:sz w:val="24"/>
        </w:rPr>
        <w:t>（1）在收到中选通知书后，在中选通知书规定的期限内与你方签订合同；</w:t>
      </w:r>
    </w:p>
    <w:p w14:paraId="548F6249">
      <w:pPr>
        <w:spacing w:line="440" w:lineRule="exact"/>
        <w:ind w:firstLine="480" w:firstLineChars="200"/>
        <w:rPr>
          <w:rFonts w:hint="eastAsia" w:ascii="宋体" w:hAnsi="宋体" w:cs="宋体"/>
          <w:sz w:val="24"/>
        </w:rPr>
      </w:pPr>
      <w:r>
        <w:rPr>
          <w:rFonts w:hint="eastAsia" w:ascii="宋体" w:hAnsi="宋体" w:cs="宋体"/>
          <w:sz w:val="24"/>
        </w:rPr>
        <w:t>（2）在签订合同时不向你方提出附加条件；</w:t>
      </w:r>
    </w:p>
    <w:p w14:paraId="1BBA633D">
      <w:pPr>
        <w:spacing w:line="440" w:lineRule="exact"/>
        <w:ind w:firstLine="480" w:firstLineChars="200"/>
        <w:rPr>
          <w:rFonts w:hint="eastAsia" w:ascii="宋体" w:hAnsi="宋体" w:cs="宋体"/>
          <w:sz w:val="24"/>
        </w:rPr>
      </w:pPr>
      <w:r>
        <w:rPr>
          <w:rFonts w:hint="eastAsia" w:ascii="宋体" w:hAnsi="宋体" w:cs="宋体"/>
          <w:sz w:val="24"/>
        </w:rPr>
        <w:t>（3）在合同约定的期限内完成合同规定的全部工作内容；</w:t>
      </w:r>
    </w:p>
    <w:p w14:paraId="587DD108">
      <w:pPr>
        <w:spacing w:line="440" w:lineRule="exact"/>
        <w:ind w:firstLine="480"/>
        <w:rPr>
          <w:rFonts w:hint="eastAsia" w:ascii="宋体" w:hAnsi="宋体" w:cs="宋体"/>
          <w:sz w:val="24"/>
        </w:rPr>
      </w:pPr>
      <w:r>
        <w:rPr>
          <w:rFonts w:hint="eastAsia" w:ascii="宋体" w:hAnsi="宋体" w:cs="宋体"/>
          <w:sz w:val="24"/>
        </w:rPr>
        <w:t>（4）随同本申请函递交的申请函附录及比选申请文件的所有内容及附</w:t>
      </w:r>
      <w:r>
        <w:rPr>
          <w:rFonts w:hint="eastAsia" w:ascii="宋体" w:hAnsi="宋体" w:cs="宋体"/>
          <w:sz w:val="24"/>
          <w:lang w:val="en-US" w:eastAsia="zh-CN"/>
        </w:rPr>
        <w:t>件</w:t>
      </w:r>
      <w:r>
        <w:rPr>
          <w:rFonts w:hint="eastAsia" w:ascii="宋体" w:hAnsi="宋体" w:cs="宋体"/>
          <w:sz w:val="24"/>
        </w:rPr>
        <w:t>均可以用作合同文件的组成部分。</w:t>
      </w:r>
    </w:p>
    <w:p w14:paraId="6DC910BF">
      <w:pPr>
        <w:spacing w:line="440" w:lineRule="exact"/>
        <w:ind w:firstLine="480" w:firstLineChars="200"/>
        <w:rPr>
          <w:rFonts w:hint="eastAsia" w:ascii="宋体" w:hAnsi="宋体" w:cs="宋体"/>
          <w:bCs/>
          <w:sz w:val="24"/>
        </w:rPr>
      </w:pPr>
      <w:r>
        <w:rPr>
          <w:rFonts w:hint="eastAsia" w:ascii="宋体" w:hAnsi="宋体" w:cs="宋体"/>
          <w:sz w:val="24"/>
        </w:rPr>
        <w:t>5.我方在此声明，所递交的比选申请文件</w:t>
      </w:r>
      <w:r>
        <w:rPr>
          <w:rFonts w:hint="eastAsia" w:ascii="宋体" w:hAnsi="宋体" w:cs="宋体"/>
          <w:bCs/>
          <w:sz w:val="24"/>
        </w:rPr>
        <w:t>及有关资料内容完整、真实和准确。</w:t>
      </w:r>
    </w:p>
    <w:p w14:paraId="55945E5B">
      <w:pPr>
        <w:spacing w:line="440" w:lineRule="exact"/>
        <w:ind w:firstLine="480" w:firstLineChars="200"/>
        <w:rPr>
          <w:rFonts w:hint="eastAsia" w:ascii="宋体" w:hAnsi="宋体" w:cs="宋体"/>
          <w:bCs/>
          <w:sz w:val="24"/>
          <w:u w:val="single"/>
        </w:rPr>
      </w:pPr>
      <w:r>
        <w:rPr>
          <w:rFonts w:hint="eastAsia" w:ascii="宋体" w:hAnsi="宋体" w:cs="宋体"/>
          <w:bCs/>
          <w:sz w:val="24"/>
          <w:u w:val="single"/>
        </w:rPr>
        <w:t xml:space="preserve">7.          </w:t>
      </w:r>
      <w:r>
        <w:rPr>
          <w:rFonts w:hint="eastAsia" w:ascii="宋体" w:hAnsi="宋体" w:cs="宋体"/>
          <w:sz w:val="24"/>
        </w:rPr>
        <w:t>（其他补充说明）。</w:t>
      </w:r>
    </w:p>
    <w:p w14:paraId="37F4A359">
      <w:pPr>
        <w:pStyle w:val="15"/>
        <w:spacing w:line="440" w:lineRule="exact"/>
        <w:ind w:firstLine="3720" w:firstLineChars="1550"/>
        <w:rPr>
          <w:rFonts w:hint="eastAsia" w:hAnsi="宋体" w:cs="宋体"/>
          <w:sz w:val="24"/>
          <w:szCs w:val="24"/>
        </w:rPr>
      </w:pPr>
    </w:p>
    <w:p w14:paraId="3F2B6273">
      <w:pPr>
        <w:pStyle w:val="15"/>
        <w:spacing w:line="440" w:lineRule="exact"/>
        <w:ind w:firstLine="3720" w:firstLineChars="1550"/>
        <w:rPr>
          <w:rFonts w:hint="eastAsia" w:hAnsi="宋体" w:cs="宋体"/>
          <w:sz w:val="24"/>
          <w:szCs w:val="24"/>
        </w:rPr>
      </w:pPr>
    </w:p>
    <w:p w14:paraId="7E6CBCCD">
      <w:pPr>
        <w:pStyle w:val="15"/>
        <w:spacing w:line="440" w:lineRule="exact"/>
        <w:ind w:firstLine="3720" w:firstLineChars="1550"/>
        <w:rPr>
          <w:rFonts w:hint="eastAsia" w:hAnsi="宋体" w:cs="宋体"/>
          <w:sz w:val="24"/>
          <w:szCs w:val="24"/>
        </w:rPr>
      </w:pPr>
      <w:r>
        <w:rPr>
          <w:rFonts w:hint="eastAsia" w:hAnsi="宋体" w:cs="宋体"/>
          <w:sz w:val="24"/>
          <w:szCs w:val="24"/>
        </w:rPr>
        <w:t>比选申请人：</w:t>
      </w:r>
      <w:r>
        <w:rPr>
          <w:rFonts w:hint="eastAsia" w:hAnsi="宋体" w:cs="宋体"/>
          <w:sz w:val="24"/>
          <w:szCs w:val="24"/>
          <w:u w:val="single"/>
        </w:rPr>
        <w:t xml:space="preserve">（单位全称）          （盖单位章）  </w:t>
      </w:r>
    </w:p>
    <w:p w14:paraId="2C93FB4F">
      <w:pPr>
        <w:pStyle w:val="15"/>
        <w:spacing w:line="440" w:lineRule="exact"/>
        <w:rPr>
          <w:rFonts w:hint="eastAsia" w:hAnsi="宋体" w:cs="宋体"/>
          <w:sz w:val="24"/>
          <w:szCs w:val="24"/>
        </w:rPr>
      </w:pPr>
      <w:r>
        <w:rPr>
          <w:rFonts w:hint="eastAsia" w:hAnsi="宋体" w:cs="宋体"/>
          <w:sz w:val="24"/>
          <w:szCs w:val="24"/>
        </w:rPr>
        <w:t xml:space="preserve">                               法定代表人或其委托代理人：</w:t>
      </w:r>
      <w:r>
        <w:rPr>
          <w:rFonts w:hint="eastAsia" w:hAnsi="宋体" w:cs="宋体"/>
          <w:sz w:val="24"/>
          <w:szCs w:val="24"/>
          <w:u w:val="single"/>
        </w:rPr>
        <w:t xml:space="preserve">        （签字）</w:t>
      </w:r>
    </w:p>
    <w:p w14:paraId="441CE2D6">
      <w:pPr>
        <w:pStyle w:val="15"/>
        <w:spacing w:line="440" w:lineRule="exact"/>
        <w:ind w:firstLine="3720" w:firstLineChars="1550"/>
        <w:rPr>
          <w:rFonts w:hint="eastAsia" w:hAnsi="宋体" w:cs="宋体"/>
          <w:sz w:val="24"/>
          <w:szCs w:val="24"/>
        </w:rPr>
      </w:pPr>
    </w:p>
    <w:p w14:paraId="2336FD1E">
      <w:pPr>
        <w:pStyle w:val="15"/>
        <w:spacing w:line="440" w:lineRule="exact"/>
        <w:ind w:firstLine="3720" w:firstLineChars="1550"/>
        <w:jc w:val="right"/>
        <w:rPr>
          <w:rFonts w:hint="eastAsia" w:hAnsi="宋体" w:cs="宋体"/>
          <w:sz w:val="24"/>
          <w:szCs w:val="24"/>
        </w:rPr>
      </w:pPr>
      <w:r>
        <w:rPr>
          <w:rFonts w:hint="eastAsia" w:hAnsi="宋体" w:cs="宋体"/>
          <w:sz w:val="24"/>
          <w:szCs w:val="24"/>
        </w:rPr>
        <w:t>年 月 日</w:t>
      </w:r>
    </w:p>
    <w:p w14:paraId="0F99256B">
      <w:pPr>
        <w:pStyle w:val="15"/>
        <w:spacing w:line="360" w:lineRule="auto"/>
        <w:rPr>
          <w:rFonts w:hint="eastAsia" w:hAnsi="宋体"/>
        </w:rPr>
      </w:pPr>
    </w:p>
    <w:p w14:paraId="013D3239">
      <w:pPr>
        <w:pStyle w:val="15"/>
        <w:spacing w:line="360" w:lineRule="auto"/>
        <w:rPr>
          <w:rFonts w:hint="eastAsia" w:hAnsi="宋体"/>
        </w:rPr>
      </w:pPr>
    </w:p>
    <w:p w14:paraId="23BC589A">
      <w:pPr>
        <w:pStyle w:val="15"/>
        <w:spacing w:line="360" w:lineRule="auto"/>
        <w:rPr>
          <w:rFonts w:hint="eastAsia" w:hAnsi="宋体"/>
          <w:b/>
          <w:sz w:val="28"/>
          <w:szCs w:val="28"/>
        </w:rPr>
      </w:pPr>
    </w:p>
    <w:p w14:paraId="0B9FBFA7">
      <w:pPr>
        <w:pStyle w:val="8"/>
      </w:pPr>
      <w:r>
        <w:t>1-2</w:t>
      </w:r>
      <w:r>
        <w:rPr>
          <w:rFonts w:hint="eastAsia"/>
        </w:rPr>
        <w:t>比选申请函附录</w:t>
      </w:r>
    </w:p>
    <w:tbl>
      <w:tblPr>
        <w:tblStyle w:val="26"/>
        <w:tblW w:w="0" w:type="auto"/>
        <w:tblInd w:w="219" w:type="dxa"/>
        <w:tblLayout w:type="fixed"/>
        <w:tblCellMar>
          <w:top w:w="0" w:type="dxa"/>
          <w:left w:w="108" w:type="dxa"/>
          <w:bottom w:w="0" w:type="dxa"/>
          <w:right w:w="108" w:type="dxa"/>
        </w:tblCellMar>
      </w:tblPr>
      <w:tblGrid>
        <w:gridCol w:w="882"/>
        <w:gridCol w:w="2026"/>
        <w:gridCol w:w="2837"/>
        <w:gridCol w:w="2508"/>
        <w:gridCol w:w="850"/>
      </w:tblGrid>
      <w:tr w14:paraId="131FFE8B">
        <w:tblPrEx>
          <w:tblCellMar>
            <w:top w:w="0" w:type="dxa"/>
            <w:left w:w="108" w:type="dxa"/>
            <w:bottom w:w="0" w:type="dxa"/>
            <w:right w:w="108" w:type="dxa"/>
          </w:tblCellMar>
        </w:tblPrEx>
        <w:trPr>
          <w:trHeight w:val="580"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0A880F06">
            <w:pPr>
              <w:pStyle w:val="45"/>
              <w:kinsoku w:val="0"/>
              <w:overflowPunct w:val="0"/>
              <w:ind w:left="59"/>
              <w:jc w:val="center"/>
              <w:rPr>
                <w:rFonts w:hint="eastAsia"/>
                <w:b/>
                <w:bCs/>
                <w:sz w:val="24"/>
              </w:rPr>
            </w:pPr>
            <w:r>
              <w:rPr>
                <w:rFonts w:hint="eastAsia"/>
                <w:b/>
                <w:bCs/>
                <w:sz w:val="24"/>
              </w:rPr>
              <w:t>序 号</w:t>
            </w:r>
          </w:p>
        </w:tc>
        <w:tc>
          <w:tcPr>
            <w:tcW w:w="2026" w:type="dxa"/>
            <w:tcBorders>
              <w:top w:val="single" w:color="000000" w:sz="4" w:space="0"/>
              <w:left w:val="single" w:color="000000" w:sz="4" w:space="0"/>
              <w:bottom w:val="single" w:color="000000" w:sz="4" w:space="0"/>
              <w:right w:val="single" w:color="000000" w:sz="4" w:space="0"/>
            </w:tcBorders>
            <w:vAlign w:val="center"/>
          </w:tcPr>
          <w:p w14:paraId="20B50E7E">
            <w:pPr>
              <w:pStyle w:val="45"/>
              <w:kinsoku w:val="0"/>
              <w:overflowPunct w:val="0"/>
              <w:jc w:val="center"/>
              <w:rPr>
                <w:rFonts w:hint="eastAsia"/>
                <w:b/>
                <w:bCs/>
                <w:sz w:val="24"/>
              </w:rPr>
            </w:pPr>
            <w:r>
              <w:rPr>
                <w:rFonts w:hint="eastAsia"/>
                <w:b/>
                <w:bCs/>
                <w:sz w:val="24"/>
              </w:rPr>
              <w:t>条款名称</w:t>
            </w:r>
          </w:p>
        </w:tc>
        <w:tc>
          <w:tcPr>
            <w:tcW w:w="2837" w:type="dxa"/>
            <w:tcBorders>
              <w:top w:val="single" w:color="000000" w:sz="4" w:space="0"/>
              <w:left w:val="single" w:color="000000" w:sz="4" w:space="0"/>
              <w:bottom w:val="single" w:color="000000" w:sz="4" w:space="0"/>
              <w:right w:val="single" w:color="000000" w:sz="4" w:space="0"/>
            </w:tcBorders>
            <w:vAlign w:val="center"/>
          </w:tcPr>
          <w:p w14:paraId="5CF9C788">
            <w:pPr>
              <w:pStyle w:val="45"/>
              <w:kinsoku w:val="0"/>
              <w:overflowPunct w:val="0"/>
              <w:ind w:left="59"/>
              <w:jc w:val="center"/>
              <w:rPr>
                <w:rFonts w:hint="eastAsia"/>
                <w:b/>
                <w:bCs/>
                <w:sz w:val="24"/>
              </w:rPr>
            </w:pPr>
            <w:r>
              <w:rPr>
                <w:rFonts w:hint="eastAsia"/>
                <w:b/>
                <w:bCs/>
                <w:sz w:val="24"/>
              </w:rPr>
              <w:t>约定内容</w:t>
            </w:r>
          </w:p>
        </w:tc>
        <w:tc>
          <w:tcPr>
            <w:tcW w:w="2508" w:type="dxa"/>
            <w:tcBorders>
              <w:top w:val="single" w:color="000000" w:sz="4" w:space="0"/>
              <w:left w:val="single" w:color="000000" w:sz="4" w:space="0"/>
              <w:bottom w:val="single" w:color="000000" w:sz="4" w:space="0"/>
              <w:right w:val="single" w:color="000000" w:sz="4" w:space="0"/>
            </w:tcBorders>
            <w:vAlign w:val="center"/>
          </w:tcPr>
          <w:p w14:paraId="7568A719">
            <w:pPr>
              <w:pStyle w:val="45"/>
              <w:kinsoku w:val="0"/>
              <w:overflowPunct w:val="0"/>
              <w:ind w:left="59"/>
              <w:jc w:val="center"/>
              <w:rPr>
                <w:rFonts w:hint="eastAsia"/>
                <w:b/>
                <w:bCs/>
                <w:sz w:val="24"/>
              </w:rPr>
            </w:pPr>
            <w:r>
              <w:rPr>
                <w:rFonts w:hint="eastAsia"/>
                <w:b/>
                <w:bCs/>
                <w:sz w:val="24"/>
              </w:rPr>
              <w:t>比选申请人是否响应</w:t>
            </w:r>
          </w:p>
          <w:p w14:paraId="4ADF67D0">
            <w:pPr>
              <w:pStyle w:val="45"/>
              <w:kinsoku w:val="0"/>
              <w:overflowPunct w:val="0"/>
              <w:ind w:left="59"/>
              <w:jc w:val="center"/>
              <w:rPr>
                <w:rFonts w:hint="eastAsia"/>
                <w:b/>
                <w:bCs/>
                <w:sz w:val="24"/>
              </w:rPr>
            </w:pPr>
            <w:r>
              <w:rPr>
                <w:rFonts w:hint="eastAsia"/>
                <w:b/>
                <w:bCs/>
                <w:sz w:val="24"/>
              </w:rPr>
              <w:t>填写（是/否）</w:t>
            </w:r>
          </w:p>
        </w:tc>
        <w:tc>
          <w:tcPr>
            <w:tcW w:w="850" w:type="dxa"/>
            <w:tcBorders>
              <w:top w:val="single" w:color="000000" w:sz="4" w:space="0"/>
              <w:left w:val="single" w:color="000000" w:sz="4" w:space="0"/>
              <w:bottom w:val="single" w:color="000000" w:sz="4" w:space="0"/>
              <w:right w:val="single" w:color="000000" w:sz="4" w:space="0"/>
            </w:tcBorders>
            <w:vAlign w:val="center"/>
          </w:tcPr>
          <w:p w14:paraId="779E689B">
            <w:pPr>
              <w:pStyle w:val="45"/>
              <w:kinsoku w:val="0"/>
              <w:overflowPunct w:val="0"/>
              <w:ind w:left="59"/>
              <w:jc w:val="center"/>
              <w:rPr>
                <w:rFonts w:hint="eastAsia"/>
                <w:b/>
                <w:bCs/>
                <w:sz w:val="24"/>
              </w:rPr>
            </w:pPr>
            <w:r>
              <w:rPr>
                <w:rFonts w:hint="eastAsia"/>
                <w:b/>
                <w:bCs/>
                <w:sz w:val="24"/>
              </w:rPr>
              <w:t>备注</w:t>
            </w:r>
          </w:p>
        </w:tc>
      </w:tr>
      <w:tr w14:paraId="538D74AA">
        <w:tblPrEx>
          <w:tblCellMar>
            <w:top w:w="0" w:type="dxa"/>
            <w:left w:w="108" w:type="dxa"/>
            <w:bottom w:w="0" w:type="dxa"/>
            <w:right w:w="108" w:type="dxa"/>
          </w:tblCellMar>
        </w:tblPrEx>
        <w:trPr>
          <w:trHeight w:val="767"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4D74D444">
            <w:pPr>
              <w:pStyle w:val="45"/>
              <w:kinsoku w:val="0"/>
              <w:overflowPunct w:val="0"/>
              <w:jc w:val="center"/>
              <w:rPr>
                <w:rFonts w:hint="eastAsia"/>
                <w:sz w:val="24"/>
              </w:rPr>
            </w:pPr>
            <w:r>
              <w:rPr>
                <w:rFonts w:hint="eastAsia"/>
                <w:sz w:val="24"/>
              </w:rPr>
              <w:t>1</w:t>
            </w:r>
          </w:p>
        </w:tc>
        <w:tc>
          <w:tcPr>
            <w:tcW w:w="2026" w:type="dxa"/>
            <w:tcBorders>
              <w:top w:val="single" w:color="000000" w:sz="4" w:space="0"/>
              <w:left w:val="single" w:color="000000" w:sz="4" w:space="0"/>
              <w:bottom w:val="single" w:color="000000" w:sz="4" w:space="0"/>
              <w:right w:val="single" w:color="000000" w:sz="4" w:space="0"/>
            </w:tcBorders>
            <w:vAlign w:val="center"/>
          </w:tcPr>
          <w:p w14:paraId="16001045">
            <w:pPr>
              <w:pStyle w:val="45"/>
              <w:kinsoku w:val="0"/>
              <w:overflowPunct w:val="0"/>
              <w:jc w:val="center"/>
              <w:rPr>
                <w:rFonts w:hint="eastAsia"/>
                <w:sz w:val="24"/>
              </w:rPr>
            </w:pPr>
            <w:r>
              <w:rPr>
                <w:rFonts w:hint="eastAsia"/>
                <w:sz w:val="24"/>
              </w:rPr>
              <w:t>比选范围</w:t>
            </w:r>
          </w:p>
        </w:tc>
        <w:tc>
          <w:tcPr>
            <w:tcW w:w="2837" w:type="dxa"/>
            <w:tcBorders>
              <w:top w:val="single" w:color="000000" w:sz="4" w:space="0"/>
              <w:left w:val="single" w:color="000000" w:sz="4" w:space="0"/>
              <w:bottom w:val="single" w:color="000000" w:sz="4" w:space="0"/>
              <w:right w:val="single" w:color="000000" w:sz="4" w:space="0"/>
            </w:tcBorders>
            <w:vAlign w:val="center"/>
          </w:tcPr>
          <w:p w14:paraId="1B7CD932">
            <w:pPr>
              <w:pStyle w:val="45"/>
              <w:kinsoku w:val="0"/>
              <w:overflowPunct w:val="0"/>
              <w:ind w:left="102"/>
              <w:jc w:val="center"/>
              <w:rPr>
                <w:rFonts w:hint="eastAsia"/>
                <w:sz w:val="24"/>
              </w:rPr>
            </w:pPr>
            <w:r>
              <w:rPr>
                <w:rFonts w:hint="eastAsia"/>
                <w:sz w:val="24"/>
              </w:rPr>
              <w:t>是否响应比选文件要求</w:t>
            </w:r>
          </w:p>
        </w:tc>
        <w:tc>
          <w:tcPr>
            <w:tcW w:w="2508" w:type="dxa"/>
            <w:tcBorders>
              <w:top w:val="single" w:color="000000" w:sz="4" w:space="0"/>
              <w:left w:val="single" w:color="000000" w:sz="4" w:space="0"/>
              <w:bottom w:val="single" w:color="000000" w:sz="4" w:space="0"/>
              <w:right w:val="single" w:color="000000" w:sz="4" w:space="0"/>
            </w:tcBorders>
            <w:vAlign w:val="center"/>
          </w:tcPr>
          <w:p w14:paraId="1FA51A80">
            <w:pPr>
              <w:pStyle w:val="45"/>
              <w:tabs>
                <w:tab w:val="left" w:pos="2516"/>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BF650FB">
            <w:pPr>
              <w:jc w:val="center"/>
              <w:rPr>
                <w:rFonts w:hint="eastAsia" w:ascii="宋体" w:hAnsi="宋体" w:cs="宋体"/>
                <w:sz w:val="24"/>
              </w:rPr>
            </w:pPr>
          </w:p>
        </w:tc>
      </w:tr>
      <w:tr w14:paraId="75A1F1BA">
        <w:tblPrEx>
          <w:tblCellMar>
            <w:top w:w="0" w:type="dxa"/>
            <w:left w:w="108" w:type="dxa"/>
            <w:bottom w:w="0" w:type="dxa"/>
            <w:right w:w="108" w:type="dxa"/>
          </w:tblCellMar>
        </w:tblPrEx>
        <w:trPr>
          <w:trHeight w:val="607"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74C18289">
            <w:pPr>
              <w:pStyle w:val="45"/>
              <w:kinsoku w:val="0"/>
              <w:overflowPunct w:val="0"/>
              <w:jc w:val="center"/>
              <w:rPr>
                <w:rFonts w:hint="eastAsia"/>
                <w:sz w:val="24"/>
              </w:rPr>
            </w:pPr>
            <w:r>
              <w:rPr>
                <w:rFonts w:hint="eastAsia"/>
                <w:sz w:val="24"/>
              </w:rPr>
              <w:t>2</w:t>
            </w:r>
          </w:p>
        </w:tc>
        <w:tc>
          <w:tcPr>
            <w:tcW w:w="2026" w:type="dxa"/>
            <w:tcBorders>
              <w:top w:val="single" w:color="000000" w:sz="4" w:space="0"/>
              <w:left w:val="single" w:color="000000" w:sz="4" w:space="0"/>
              <w:bottom w:val="single" w:color="000000" w:sz="4" w:space="0"/>
              <w:right w:val="single" w:color="000000" w:sz="4" w:space="0"/>
            </w:tcBorders>
            <w:vAlign w:val="center"/>
          </w:tcPr>
          <w:p w14:paraId="3EB9A75F">
            <w:pPr>
              <w:pStyle w:val="45"/>
              <w:kinsoku w:val="0"/>
              <w:overflowPunct w:val="0"/>
              <w:jc w:val="center"/>
              <w:rPr>
                <w:rFonts w:hint="eastAsia"/>
                <w:sz w:val="24"/>
              </w:rPr>
            </w:pPr>
            <w:r>
              <w:rPr>
                <w:rFonts w:hint="eastAsia"/>
                <w:sz w:val="24"/>
              </w:rPr>
              <w:t>完成期限</w:t>
            </w:r>
          </w:p>
        </w:tc>
        <w:tc>
          <w:tcPr>
            <w:tcW w:w="2837" w:type="dxa"/>
            <w:tcBorders>
              <w:top w:val="single" w:color="000000" w:sz="4" w:space="0"/>
              <w:left w:val="single" w:color="000000" w:sz="4" w:space="0"/>
              <w:bottom w:val="single" w:color="000000" w:sz="4" w:space="0"/>
              <w:right w:val="single" w:color="000000" w:sz="4" w:space="0"/>
            </w:tcBorders>
            <w:vAlign w:val="center"/>
          </w:tcPr>
          <w:p w14:paraId="7356CD09">
            <w:pPr>
              <w:pStyle w:val="45"/>
              <w:kinsoku w:val="0"/>
              <w:overflowPunct w:val="0"/>
              <w:ind w:left="102"/>
              <w:jc w:val="center"/>
              <w:rPr>
                <w:rFonts w:hint="eastAsia"/>
                <w:sz w:val="24"/>
              </w:rPr>
            </w:pPr>
            <w:r>
              <w:rPr>
                <w:rFonts w:hint="eastAsia"/>
                <w:sz w:val="24"/>
              </w:rPr>
              <w:t>是否响应比选文件要求</w:t>
            </w:r>
          </w:p>
        </w:tc>
        <w:tc>
          <w:tcPr>
            <w:tcW w:w="2508" w:type="dxa"/>
            <w:tcBorders>
              <w:top w:val="single" w:color="000000" w:sz="4" w:space="0"/>
              <w:left w:val="single" w:color="000000" w:sz="4" w:space="0"/>
              <w:bottom w:val="single" w:color="000000" w:sz="4" w:space="0"/>
              <w:right w:val="single" w:color="000000" w:sz="4" w:space="0"/>
            </w:tcBorders>
            <w:vAlign w:val="center"/>
          </w:tcPr>
          <w:p w14:paraId="6404D731">
            <w:pPr>
              <w:pStyle w:val="45"/>
              <w:tabs>
                <w:tab w:val="left" w:pos="2516"/>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8C055A2">
            <w:pPr>
              <w:jc w:val="center"/>
              <w:rPr>
                <w:rFonts w:hint="eastAsia" w:ascii="宋体" w:hAnsi="宋体" w:cs="宋体"/>
                <w:sz w:val="24"/>
              </w:rPr>
            </w:pPr>
          </w:p>
        </w:tc>
      </w:tr>
      <w:tr w14:paraId="5556F900">
        <w:tblPrEx>
          <w:tblCellMar>
            <w:top w:w="0" w:type="dxa"/>
            <w:left w:w="108" w:type="dxa"/>
            <w:bottom w:w="0" w:type="dxa"/>
            <w:right w:w="108" w:type="dxa"/>
          </w:tblCellMar>
        </w:tblPrEx>
        <w:trPr>
          <w:trHeight w:val="12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60C37084">
            <w:pPr>
              <w:pStyle w:val="45"/>
              <w:kinsoku w:val="0"/>
              <w:overflowPunct w:val="0"/>
              <w:jc w:val="center"/>
              <w:rPr>
                <w:rFonts w:hint="eastAsia"/>
                <w:sz w:val="24"/>
              </w:rPr>
            </w:pPr>
            <w:r>
              <w:rPr>
                <w:rFonts w:hint="eastAsia"/>
                <w:sz w:val="24"/>
              </w:rPr>
              <w:t>3</w:t>
            </w:r>
          </w:p>
        </w:tc>
        <w:tc>
          <w:tcPr>
            <w:tcW w:w="2026" w:type="dxa"/>
            <w:tcBorders>
              <w:top w:val="single" w:color="000000" w:sz="4" w:space="0"/>
              <w:left w:val="single" w:color="000000" w:sz="4" w:space="0"/>
              <w:bottom w:val="single" w:color="000000" w:sz="4" w:space="0"/>
              <w:right w:val="single" w:color="000000" w:sz="4" w:space="0"/>
            </w:tcBorders>
            <w:vAlign w:val="center"/>
          </w:tcPr>
          <w:p w14:paraId="44C07336">
            <w:pPr>
              <w:spacing w:line="360" w:lineRule="auto"/>
              <w:jc w:val="center"/>
              <w:rPr>
                <w:sz w:val="24"/>
              </w:rPr>
            </w:pPr>
            <w:r>
              <w:rPr>
                <w:rFonts w:hint="eastAsia" w:ascii="宋体" w:hAnsi="宋体" w:cs="宋体"/>
                <w:sz w:val="24"/>
              </w:rPr>
              <w:t>分包</w:t>
            </w:r>
          </w:p>
        </w:tc>
        <w:tc>
          <w:tcPr>
            <w:tcW w:w="2837" w:type="dxa"/>
            <w:tcBorders>
              <w:top w:val="single" w:color="000000" w:sz="4" w:space="0"/>
              <w:left w:val="single" w:color="000000" w:sz="4" w:space="0"/>
              <w:bottom w:val="single" w:color="000000" w:sz="4" w:space="0"/>
              <w:right w:val="single" w:color="000000" w:sz="4" w:space="0"/>
            </w:tcBorders>
            <w:vAlign w:val="center"/>
          </w:tcPr>
          <w:p w14:paraId="2610B0BE">
            <w:pPr>
              <w:jc w:val="center"/>
              <w:rPr>
                <w:sz w:val="24"/>
              </w:rPr>
            </w:pPr>
            <w:r>
              <w:rPr>
                <w:rFonts w:hint="eastAsia" w:ascii="宋体" w:hAnsi="宋体" w:cs="宋体"/>
                <w:sz w:val="24"/>
              </w:rPr>
              <w:t>是否响应比选文件第二章比选申请人须知前附表中第40项分包规定</w:t>
            </w:r>
          </w:p>
        </w:tc>
        <w:tc>
          <w:tcPr>
            <w:tcW w:w="2508" w:type="dxa"/>
            <w:tcBorders>
              <w:top w:val="single" w:color="000000" w:sz="4" w:space="0"/>
              <w:left w:val="single" w:color="000000" w:sz="4" w:space="0"/>
              <w:bottom w:val="single" w:color="000000" w:sz="4" w:space="0"/>
              <w:right w:val="single" w:color="000000" w:sz="4" w:space="0"/>
            </w:tcBorders>
            <w:vAlign w:val="center"/>
          </w:tcPr>
          <w:p w14:paraId="69591F7E">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B1A2700">
            <w:pPr>
              <w:jc w:val="center"/>
              <w:rPr>
                <w:rFonts w:hint="eastAsia" w:ascii="宋体" w:hAnsi="宋体" w:cs="宋体"/>
                <w:sz w:val="24"/>
              </w:rPr>
            </w:pPr>
          </w:p>
        </w:tc>
      </w:tr>
      <w:tr w14:paraId="162598D7">
        <w:tblPrEx>
          <w:tblCellMar>
            <w:top w:w="0" w:type="dxa"/>
            <w:left w:w="108" w:type="dxa"/>
            <w:bottom w:w="0" w:type="dxa"/>
            <w:right w:w="108" w:type="dxa"/>
          </w:tblCellMar>
        </w:tblPrEx>
        <w:trPr>
          <w:trHeight w:val="2430"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049B5237">
            <w:pPr>
              <w:pStyle w:val="45"/>
              <w:kinsoku w:val="0"/>
              <w:overflowPunct w:val="0"/>
              <w:jc w:val="center"/>
              <w:rPr>
                <w:rFonts w:hint="eastAsia"/>
                <w:sz w:val="24"/>
              </w:rPr>
            </w:pPr>
            <w:r>
              <w:rPr>
                <w:rFonts w:hint="eastAsia"/>
                <w:sz w:val="24"/>
              </w:rPr>
              <w:t>4</w:t>
            </w:r>
          </w:p>
        </w:tc>
        <w:tc>
          <w:tcPr>
            <w:tcW w:w="2026" w:type="dxa"/>
            <w:tcBorders>
              <w:top w:val="single" w:color="000000" w:sz="4" w:space="0"/>
              <w:left w:val="single" w:color="000000" w:sz="4" w:space="0"/>
              <w:bottom w:val="single" w:color="000000" w:sz="4" w:space="0"/>
              <w:right w:val="single" w:color="000000" w:sz="4" w:space="0"/>
            </w:tcBorders>
            <w:vAlign w:val="center"/>
          </w:tcPr>
          <w:p w14:paraId="55ADB9F5">
            <w:pPr>
              <w:pStyle w:val="45"/>
              <w:kinsoku w:val="0"/>
              <w:overflowPunct w:val="0"/>
              <w:ind w:left="102"/>
              <w:jc w:val="center"/>
              <w:rPr>
                <w:rFonts w:hint="eastAsia"/>
                <w:sz w:val="24"/>
              </w:rPr>
            </w:pPr>
            <w:r>
              <w:rPr>
                <w:rFonts w:hint="eastAsia"/>
                <w:sz w:val="24"/>
              </w:rPr>
              <w:t>质保及维护期</w:t>
            </w:r>
          </w:p>
        </w:tc>
        <w:tc>
          <w:tcPr>
            <w:tcW w:w="2837" w:type="dxa"/>
            <w:tcBorders>
              <w:top w:val="single" w:color="000000" w:sz="4" w:space="0"/>
              <w:left w:val="single" w:color="000000" w:sz="4" w:space="0"/>
              <w:bottom w:val="single" w:color="000000" w:sz="4" w:space="0"/>
              <w:right w:val="single" w:color="000000" w:sz="4" w:space="0"/>
            </w:tcBorders>
            <w:vAlign w:val="center"/>
          </w:tcPr>
          <w:p w14:paraId="04C3CBC4">
            <w:pPr>
              <w:pStyle w:val="45"/>
              <w:kinsoku w:val="0"/>
              <w:overflowPunct w:val="0"/>
              <w:ind w:left="102"/>
              <w:jc w:val="center"/>
              <w:rPr>
                <w:rFonts w:hint="eastAsia"/>
                <w:sz w:val="24"/>
              </w:rPr>
            </w:pPr>
            <w:r>
              <w:rPr>
                <w:rFonts w:hint="eastAsia"/>
                <w:sz w:val="24"/>
                <w:u w:val="single"/>
              </w:rPr>
              <w:t xml:space="preserve">  </w:t>
            </w:r>
            <w:r>
              <w:rPr>
                <w:rFonts w:hint="eastAsia"/>
                <w:sz w:val="24"/>
              </w:rPr>
              <w:t>个月，从每个供货点位的全部充电堆设备中的最后一台设备验收合格并接入甲方指定平台全部功能正常使用之日起满 1 个月起算。</w:t>
            </w:r>
          </w:p>
        </w:tc>
        <w:tc>
          <w:tcPr>
            <w:tcW w:w="2508" w:type="dxa"/>
            <w:tcBorders>
              <w:top w:val="single" w:color="000000" w:sz="4" w:space="0"/>
              <w:left w:val="single" w:color="000000" w:sz="4" w:space="0"/>
              <w:bottom w:val="single" w:color="000000" w:sz="4" w:space="0"/>
              <w:right w:val="single" w:color="000000" w:sz="4" w:space="0"/>
            </w:tcBorders>
            <w:vAlign w:val="center"/>
          </w:tcPr>
          <w:p w14:paraId="666CD6EC">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787E08D4">
            <w:pPr>
              <w:jc w:val="center"/>
              <w:rPr>
                <w:rFonts w:hint="eastAsia" w:ascii="宋体" w:hAnsi="宋体" w:cs="宋体"/>
                <w:sz w:val="24"/>
              </w:rPr>
            </w:pPr>
          </w:p>
        </w:tc>
      </w:tr>
      <w:tr w14:paraId="12B08B9D">
        <w:tblPrEx>
          <w:tblCellMar>
            <w:top w:w="0" w:type="dxa"/>
            <w:left w:w="108" w:type="dxa"/>
            <w:bottom w:w="0" w:type="dxa"/>
            <w:right w:w="108" w:type="dxa"/>
          </w:tblCellMar>
        </w:tblPrEx>
        <w:trPr>
          <w:trHeight w:val="7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3B653245">
            <w:pPr>
              <w:pStyle w:val="45"/>
              <w:kinsoku w:val="0"/>
              <w:overflowPunct w:val="0"/>
              <w:jc w:val="center"/>
              <w:rPr>
                <w:rFonts w:hint="eastAsia"/>
                <w:sz w:val="24"/>
              </w:rPr>
            </w:pPr>
            <w:r>
              <w:rPr>
                <w:rFonts w:hint="eastAsia"/>
                <w:sz w:val="24"/>
              </w:rPr>
              <w:t>5</w:t>
            </w:r>
          </w:p>
        </w:tc>
        <w:tc>
          <w:tcPr>
            <w:tcW w:w="2026" w:type="dxa"/>
            <w:tcBorders>
              <w:top w:val="single" w:color="000000" w:sz="4" w:space="0"/>
              <w:left w:val="single" w:color="000000" w:sz="4" w:space="0"/>
              <w:bottom w:val="single" w:color="000000" w:sz="4" w:space="0"/>
              <w:right w:val="single" w:color="000000" w:sz="4" w:space="0"/>
            </w:tcBorders>
            <w:vAlign w:val="center"/>
          </w:tcPr>
          <w:p w14:paraId="34464374">
            <w:pPr>
              <w:pStyle w:val="45"/>
              <w:kinsoku w:val="0"/>
              <w:overflowPunct w:val="0"/>
              <w:jc w:val="center"/>
              <w:rPr>
                <w:rFonts w:hint="eastAsia"/>
                <w:sz w:val="24"/>
              </w:rPr>
            </w:pPr>
            <w:r>
              <w:rPr>
                <w:rFonts w:hint="eastAsia"/>
                <w:sz w:val="24"/>
              </w:rPr>
              <w:t>比选申请有效期</w:t>
            </w:r>
          </w:p>
        </w:tc>
        <w:tc>
          <w:tcPr>
            <w:tcW w:w="2837" w:type="dxa"/>
            <w:tcBorders>
              <w:top w:val="single" w:color="000000" w:sz="4" w:space="0"/>
              <w:left w:val="single" w:color="000000" w:sz="4" w:space="0"/>
              <w:bottom w:val="single" w:color="000000" w:sz="4" w:space="0"/>
              <w:right w:val="single" w:color="000000" w:sz="4" w:space="0"/>
            </w:tcBorders>
            <w:vAlign w:val="center"/>
          </w:tcPr>
          <w:p w14:paraId="06969070">
            <w:pPr>
              <w:pStyle w:val="45"/>
              <w:kinsoku w:val="0"/>
              <w:overflowPunct w:val="0"/>
              <w:ind w:left="102"/>
              <w:jc w:val="center"/>
              <w:rPr>
                <w:rFonts w:hint="eastAsia"/>
                <w:sz w:val="24"/>
              </w:rPr>
            </w:pPr>
            <w:r>
              <w:rPr>
                <w:rFonts w:hint="eastAsia"/>
                <w:sz w:val="24"/>
              </w:rPr>
              <w:t>自比选申请文件递交截止时间起计算</w:t>
            </w:r>
            <w:r>
              <w:rPr>
                <w:rFonts w:hint="eastAsia"/>
                <w:sz w:val="24"/>
                <w:u w:val="single"/>
              </w:rPr>
              <w:t xml:space="preserve">  </w:t>
            </w:r>
            <w:r>
              <w:rPr>
                <w:rFonts w:hint="eastAsia"/>
                <w:sz w:val="24"/>
              </w:rPr>
              <w:t xml:space="preserve"> 天</w:t>
            </w:r>
          </w:p>
        </w:tc>
        <w:tc>
          <w:tcPr>
            <w:tcW w:w="2508" w:type="dxa"/>
            <w:tcBorders>
              <w:top w:val="single" w:color="000000" w:sz="4" w:space="0"/>
              <w:left w:val="single" w:color="000000" w:sz="4" w:space="0"/>
              <w:bottom w:val="single" w:color="000000" w:sz="4" w:space="0"/>
              <w:right w:val="single" w:color="000000" w:sz="4" w:space="0"/>
            </w:tcBorders>
            <w:vAlign w:val="center"/>
          </w:tcPr>
          <w:p w14:paraId="592FBD40">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77C32AB">
            <w:pPr>
              <w:jc w:val="center"/>
              <w:rPr>
                <w:rFonts w:hint="eastAsia" w:ascii="宋体" w:hAnsi="宋体" w:cs="宋体"/>
                <w:sz w:val="24"/>
              </w:rPr>
            </w:pPr>
          </w:p>
        </w:tc>
      </w:tr>
      <w:tr w14:paraId="79C0F911">
        <w:tblPrEx>
          <w:tblCellMar>
            <w:top w:w="0" w:type="dxa"/>
            <w:left w:w="108" w:type="dxa"/>
            <w:bottom w:w="0" w:type="dxa"/>
            <w:right w:w="108" w:type="dxa"/>
          </w:tblCellMar>
        </w:tblPrEx>
        <w:trPr>
          <w:trHeight w:val="7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19E8B013">
            <w:pPr>
              <w:pStyle w:val="45"/>
              <w:kinsoku w:val="0"/>
              <w:overflowPunct w:val="0"/>
              <w:jc w:val="center"/>
              <w:rPr>
                <w:rFonts w:hint="eastAsia"/>
                <w:sz w:val="24"/>
              </w:rPr>
            </w:pPr>
            <w:r>
              <w:rPr>
                <w:rFonts w:hint="eastAsia"/>
                <w:sz w:val="24"/>
              </w:rPr>
              <w:t>6</w:t>
            </w:r>
          </w:p>
        </w:tc>
        <w:tc>
          <w:tcPr>
            <w:tcW w:w="2026" w:type="dxa"/>
            <w:tcBorders>
              <w:top w:val="single" w:color="000000" w:sz="4" w:space="0"/>
              <w:left w:val="single" w:color="000000" w:sz="4" w:space="0"/>
              <w:bottom w:val="single" w:color="000000" w:sz="4" w:space="0"/>
              <w:right w:val="single" w:color="000000" w:sz="4" w:space="0"/>
            </w:tcBorders>
            <w:vAlign w:val="center"/>
          </w:tcPr>
          <w:p w14:paraId="0EB7788F">
            <w:pPr>
              <w:pStyle w:val="45"/>
              <w:kinsoku w:val="0"/>
              <w:overflowPunct w:val="0"/>
              <w:jc w:val="center"/>
              <w:rPr>
                <w:rFonts w:hint="eastAsia"/>
                <w:sz w:val="24"/>
              </w:rPr>
            </w:pPr>
            <w:r>
              <w:rPr>
                <w:rFonts w:hint="eastAsia"/>
                <w:sz w:val="24"/>
              </w:rPr>
              <w:t>合同条款及格式</w:t>
            </w:r>
          </w:p>
        </w:tc>
        <w:tc>
          <w:tcPr>
            <w:tcW w:w="2837" w:type="dxa"/>
            <w:tcBorders>
              <w:top w:val="single" w:color="000000" w:sz="4" w:space="0"/>
              <w:left w:val="single" w:color="000000" w:sz="4" w:space="0"/>
              <w:bottom w:val="single" w:color="000000" w:sz="4" w:space="0"/>
              <w:right w:val="single" w:color="000000" w:sz="4" w:space="0"/>
            </w:tcBorders>
            <w:vAlign w:val="center"/>
          </w:tcPr>
          <w:p w14:paraId="2F98CD82">
            <w:pPr>
              <w:pStyle w:val="45"/>
              <w:kinsoku w:val="0"/>
              <w:overflowPunct w:val="0"/>
              <w:ind w:left="102"/>
              <w:jc w:val="center"/>
              <w:rPr>
                <w:rFonts w:hint="eastAsia"/>
                <w:sz w:val="24"/>
              </w:rPr>
            </w:pPr>
            <w:r>
              <w:rPr>
                <w:rFonts w:hint="eastAsia"/>
                <w:sz w:val="24"/>
              </w:rPr>
              <w:t>是否接受比选文件中合同条款全部内容</w:t>
            </w:r>
          </w:p>
        </w:tc>
        <w:tc>
          <w:tcPr>
            <w:tcW w:w="2508" w:type="dxa"/>
            <w:tcBorders>
              <w:top w:val="single" w:color="000000" w:sz="4" w:space="0"/>
              <w:left w:val="single" w:color="000000" w:sz="4" w:space="0"/>
              <w:bottom w:val="single" w:color="000000" w:sz="4" w:space="0"/>
              <w:right w:val="single" w:color="000000" w:sz="4" w:space="0"/>
            </w:tcBorders>
            <w:vAlign w:val="center"/>
          </w:tcPr>
          <w:p w14:paraId="1410B99D">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0AD7727">
            <w:pPr>
              <w:jc w:val="center"/>
              <w:rPr>
                <w:rFonts w:hint="eastAsia" w:ascii="宋体" w:hAnsi="宋体" w:cs="宋体"/>
                <w:sz w:val="24"/>
              </w:rPr>
            </w:pPr>
          </w:p>
        </w:tc>
      </w:tr>
    </w:tbl>
    <w:p w14:paraId="7B200293">
      <w:pPr>
        <w:pStyle w:val="15"/>
        <w:spacing w:line="360" w:lineRule="auto"/>
        <w:ind w:firstLine="594" w:firstLineChars="300"/>
        <w:rPr>
          <w:rFonts w:hint="eastAsia" w:hAnsi="宋体"/>
          <w:spacing w:val="-6"/>
        </w:rPr>
      </w:pPr>
    </w:p>
    <w:p w14:paraId="160FB5EB">
      <w:pPr>
        <w:pStyle w:val="15"/>
        <w:spacing w:line="360" w:lineRule="auto"/>
        <w:ind w:firstLine="594" w:firstLineChars="300"/>
        <w:rPr>
          <w:rFonts w:hint="eastAsia" w:hAnsi="宋体"/>
          <w:spacing w:val="-6"/>
        </w:rPr>
      </w:pPr>
    </w:p>
    <w:p w14:paraId="73C2BD3A">
      <w:pPr>
        <w:pStyle w:val="15"/>
        <w:rPr>
          <w:rFonts w:hint="eastAsia" w:hAnsi="宋体"/>
        </w:rPr>
      </w:pPr>
    </w:p>
    <w:p w14:paraId="10E25781">
      <w:pPr>
        <w:pStyle w:val="15"/>
        <w:ind w:right="480" w:firstLine="3885" w:firstLineChars="1850"/>
        <w:rPr>
          <w:rFonts w:hint="eastAsia" w:hAnsi="宋体"/>
        </w:rPr>
      </w:pPr>
    </w:p>
    <w:p w14:paraId="5643A609">
      <w:pPr>
        <w:pStyle w:val="15"/>
        <w:ind w:right="480" w:firstLine="3885" w:firstLineChars="1850"/>
        <w:jc w:val="right"/>
        <w:rPr>
          <w:rFonts w:hint="eastAsia" w:hAnsi="宋体"/>
        </w:rPr>
      </w:pPr>
    </w:p>
    <w:p w14:paraId="7C458D9E">
      <w:pPr>
        <w:pStyle w:val="15"/>
        <w:ind w:right="480" w:firstLine="4440" w:firstLineChars="1850"/>
        <w:jc w:val="right"/>
        <w:rPr>
          <w:rFonts w:hint="eastAsia" w:hAnsi="宋体"/>
          <w:sz w:val="24"/>
          <w:szCs w:val="24"/>
        </w:rPr>
      </w:pPr>
    </w:p>
    <w:p w14:paraId="1356EB40">
      <w:pPr>
        <w:pStyle w:val="15"/>
        <w:ind w:right="480"/>
        <w:jc w:val="center"/>
        <w:rPr>
          <w:rFonts w:hint="eastAsia" w:hAnsi="宋体"/>
          <w:sz w:val="24"/>
          <w:szCs w:val="24"/>
          <w:u w:val="single"/>
        </w:rPr>
      </w:pPr>
      <w:r>
        <w:rPr>
          <w:rFonts w:hint="eastAsia" w:hAnsi="宋体"/>
          <w:sz w:val="24"/>
          <w:szCs w:val="24"/>
        </w:rPr>
        <w:t xml:space="preserve">                             比选申请人：</w:t>
      </w:r>
      <w:r>
        <w:rPr>
          <w:rFonts w:hint="eastAsia" w:hAnsi="宋体"/>
          <w:sz w:val="24"/>
          <w:szCs w:val="24"/>
          <w:u w:val="single"/>
        </w:rPr>
        <w:t xml:space="preserve">     </w:t>
      </w:r>
      <w:r>
        <w:rPr>
          <w:rFonts w:hint="eastAsia" w:hAnsi="宋体"/>
          <w:sz w:val="24"/>
          <w:u w:val="single"/>
        </w:rPr>
        <w:t>（单位全称）</w:t>
      </w:r>
      <w:r>
        <w:rPr>
          <w:rFonts w:hint="eastAsia" w:hAnsi="宋体"/>
          <w:sz w:val="24"/>
          <w:szCs w:val="24"/>
          <w:u w:val="single"/>
        </w:rPr>
        <w:t xml:space="preserve">      （盖单位章）</w:t>
      </w:r>
    </w:p>
    <w:p w14:paraId="088BABAD">
      <w:pPr>
        <w:pStyle w:val="15"/>
        <w:ind w:right="480" w:firstLine="4440" w:firstLineChars="1850"/>
        <w:jc w:val="right"/>
        <w:rPr>
          <w:rFonts w:hint="eastAsia" w:hAnsi="宋体"/>
          <w:sz w:val="24"/>
          <w:szCs w:val="24"/>
        </w:rPr>
      </w:pPr>
    </w:p>
    <w:p w14:paraId="7145D2E1">
      <w:pPr>
        <w:pStyle w:val="15"/>
        <w:ind w:right="480"/>
        <w:jc w:val="right"/>
        <w:rPr>
          <w:rFonts w:hint="eastAsia" w:hAnsi="宋体"/>
          <w:sz w:val="24"/>
          <w:szCs w:val="24"/>
        </w:rPr>
      </w:pPr>
      <w:r>
        <w:rPr>
          <w:rFonts w:hint="eastAsia" w:hAnsi="宋体"/>
          <w:sz w:val="24"/>
          <w:szCs w:val="24"/>
        </w:rPr>
        <w:t>法定代表人或其委托代理人：</w:t>
      </w:r>
      <w:r>
        <w:rPr>
          <w:rFonts w:hint="eastAsia" w:hAnsi="宋体"/>
          <w:sz w:val="24"/>
          <w:szCs w:val="24"/>
          <w:u w:val="single"/>
        </w:rPr>
        <w:t xml:space="preserve">        （签字）</w:t>
      </w:r>
    </w:p>
    <w:p w14:paraId="1EB7E313">
      <w:pPr>
        <w:pStyle w:val="15"/>
        <w:spacing w:line="360" w:lineRule="auto"/>
        <w:jc w:val="right"/>
        <w:rPr>
          <w:rFonts w:hint="eastAsia" w:hAnsi="宋体"/>
          <w:sz w:val="24"/>
          <w:szCs w:val="24"/>
        </w:rPr>
      </w:pPr>
    </w:p>
    <w:p w14:paraId="0F8F0195">
      <w:pPr>
        <w:pStyle w:val="15"/>
        <w:spacing w:line="360" w:lineRule="auto"/>
        <w:jc w:val="right"/>
        <w:rPr>
          <w:rFonts w:hint="eastAsia" w:hAnsi="宋体"/>
          <w:sz w:val="24"/>
          <w:szCs w:val="24"/>
        </w:rPr>
      </w:pPr>
      <w:r>
        <w:rPr>
          <w:rFonts w:hint="eastAsia" w:hAnsi="宋体"/>
          <w:sz w:val="24"/>
          <w:szCs w:val="24"/>
        </w:rPr>
        <w:t>年</w:t>
      </w:r>
      <w:r>
        <w:rPr>
          <w:rFonts w:hint="eastAsia" w:hAnsi="宋体"/>
          <w:sz w:val="24"/>
          <w:szCs w:val="24"/>
          <w:lang w:val="en-US" w:eastAsia="zh-CN"/>
        </w:rPr>
        <w:t xml:space="preserve"> </w:t>
      </w:r>
      <w:r>
        <w:rPr>
          <w:rFonts w:hint="eastAsia" w:hAnsi="宋体"/>
          <w:sz w:val="24"/>
          <w:szCs w:val="24"/>
        </w:rPr>
        <w:t>月</w:t>
      </w:r>
      <w:r>
        <w:rPr>
          <w:rFonts w:hint="eastAsia" w:hAnsi="宋体"/>
          <w:sz w:val="24"/>
          <w:szCs w:val="24"/>
          <w:lang w:val="en-US" w:eastAsia="zh-CN"/>
        </w:rPr>
        <w:t xml:space="preserve"> </w:t>
      </w:r>
      <w:r>
        <w:rPr>
          <w:rFonts w:hint="eastAsia" w:hAnsi="宋体"/>
          <w:sz w:val="24"/>
          <w:szCs w:val="24"/>
        </w:rPr>
        <w:t>日</w:t>
      </w:r>
    </w:p>
    <w:p w14:paraId="7C3C7503">
      <w:pPr>
        <w:pStyle w:val="15"/>
        <w:spacing w:line="360" w:lineRule="auto"/>
        <w:rPr>
          <w:rFonts w:hint="eastAsia" w:hAnsi="宋体"/>
          <w:b/>
          <w:sz w:val="28"/>
          <w:szCs w:val="28"/>
        </w:rPr>
      </w:pPr>
    </w:p>
    <w:p w14:paraId="3661E3A9">
      <w:pPr>
        <w:pStyle w:val="15"/>
        <w:rPr>
          <w:rFonts w:hint="eastAsia" w:ascii="黑体" w:hAnsi="宋体" w:eastAsia="黑体"/>
          <w:b/>
          <w:sz w:val="32"/>
          <w:szCs w:val="32"/>
        </w:rPr>
      </w:pPr>
    </w:p>
    <w:p w14:paraId="64678FB4">
      <w:pPr>
        <w:pStyle w:val="8"/>
        <w:tabs>
          <w:tab w:val="clear" w:pos="315"/>
          <w:tab w:val="clear" w:pos="4710"/>
        </w:tabs>
        <w:rPr>
          <w:color w:val="000000"/>
          <w:sz w:val="28"/>
        </w:rPr>
      </w:pPr>
      <w:r>
        <w:t>1-</w:t>
      </w:r>
      <w:r>
        <w:rPr>
          <w:rFonts w:hint="eastAsia"/>
        </w:rPr>
        <w:t>3比选申请文件真实性和不存在限制参与比选情形声明</w:t>
      </w:r>
    </w:p>
    <w:p w14:paraId="7400C6E7">
      <w:pPr>
        <w:spacing w:line="360" w:lineRule="auto"/>
        <w:ind w:left="359" w:leftChars="171"/>
        <w:rPr>
          <w:color w:val="000000"/>
          <w:u w:val="single"/>
        </w:rPr>
      </w:pPr>
    </w:p>
    <w:p w14:paraId="5CDB75F1">
      <w:pPr>
        <w:spacing w:line="360" w:lineRule="auto"/>
        <w:ind w:left="359" w:leftChars="171"/>
        <w:rPr>
          <w:color w:val="000000"/>
        </w:rPr>
      </w:pPr>
      <w:r>
        <w:rPr>
          <w:color w:val="000000"/>
        </w:rPr>
        <w:t>____________________（</w:t>
      </w:r>
      <w:r>
        <w:rPr>
          <w:rFonts w:hint="eastAsia"/>
          <w:color w:val="000000"/>
        </w:rPr>
        <w:t>比选</w:t>
      </w:r>
      <w:r>
        <w:rPr>
          <w:color w:val="000000"/>
        </w:rPr>
        <w:t>人名称）：</w:t>
      </w:r>
    </w:p>
    <w:p w14:paraId="6A487949">
      <w:pPr>
        <w:spacing w:line="360" w:lineRule="auto"/>
        <w:ind w:left="359" w:leftChars="171" w:firstLine="435"/>
        <w:rPr>
          <w:color w:val="000000"/>
        </w:rPr>
      </w:pPr>
      <w:r>
        <w:rPr>
          <w:color w:val="000000"/>
        </w:rPr>
        <w:t>我方在此声明，所递交的</w:t>
      </w:r>
      <w:r>
        <w:rPr>
          <w:rFonts w:hint="eastAsia"/>
          <w:color w:val="000000"/>
        </w:rPr>
        <w:t>比选申请</w:t>
      </w:r>
      <w:r>
        <w:rPr>
          <w:color w:val="000000"/>
        </w:rPr>
        <w:t>文件（包括有关资料、澄清）真实可信，不存在虚假（包括隐瞒）。</w:t>
      </w:r>
    </w:p>
    <w:p w14:paraId="7961E472">
      <w:pPr>
        <w:spacing w:line="360" w:lineRule="auto"/>
        <w:ind w:left="359" w:leftChars="171" w:firstLine="435"/>
        <w:rPr>
          <w:color w:val="000000"/>
        </w:rPr>
      </w:pPr>
      <w:r>
        <w:rPr>
          <w:color w:val="000000"/>
        </w:rPr>
        <w:t>经我方认真核查，本</w:t>
      </w:r>
      <w:r>
        <w:rPr>
          <w:rFonts w:hint="eastAsia"/>
          <w:color w:val="000000"/>
        </w:rPr>
        <w:t>比选申请</w:t>
      </w:r>
      <w:r>
        <w:rPr>
          <w:color w:val="000000"/>
        </w:rPr>
        <w:t>人不存在</w:t>
      </w:r>
      <w:r>
        <w:rPr>
          <w:rFonts w:hint="eastAsia"/>
          <w:color w:val="000000"/>
        </w:rPr>
        <w:t>比选</w:t>
      </w:r>
      <w:r>
        <w:rPr>
          <w:color w:val="000000"/>
        </w:rPr>
        <w:t>文件第二章“</w:t>
      </w:r>
      <w:r>
        <w:rPr>
          <w:rFonts w:hint="eastAsia"/>
          <w:color w:val="000000"/>
        </w:rPr>
        <w:t>比选申请</w:t>
      </w:r>
      <w:r>
        <w:rPr>
          <w:color w:val="000000"/>
        </w:rPr>
        <w:t>人须知”前附表中第</w:t>
      </w:r>
      <w:r>
        <w:rPr>
          <w:rFonts w:hint="eastAsia"/>
          <w:color w:val="000000"/>
        </w:rPr>
        <w:t>42</w:t>
      </w:r>
      <w:r>
        <w:rPr>
          <w:color w:val="000000"/>
        </w:rPr>
        <w:t>项和第</w:t>
      </w:r>
      <w:r>
        <w:rPr>
          <w:rFonts w:hint="eastAsia"/>
          <w:color w:val="000000"/>
        </w:rPr>
        <w:t>43</w:t>
      </w:r>
      <w:r>
        <w:rPr>
          <w:color w:val="000000"/>
        </w:rPr>
        <w:t>项规定的任何一种情形。</w:t>
      </w:r>
    </w:p>
    <w:p w14:paraId="3B85DE14">
      <w:pPr>
        <w:spacing w:line="360" w:lineRule="auto"/>
        <w:ind w:left="359" w:leftChars="171" w:firstLine="435"/>
        <w:rPr>
          <w:color w:val="000000"/>
        </w:rPr>
      </w:pPr>
      <w:r>
        <w:rPr>
          <w:color w:val="000000"/>
        </w:rPr>
        <w:t>我方承诺，如存在以上两项中虚假投标行为，我方自愿按</w:t>
      </w:r>
      <w:r>
        <w:rPr>
          <w:rFonts w:hint="eastAsia"/>
          <w:color w:val="000000"/>
        </w:rPr>
        <w:t>比选</w:t>
      </w:r>
      <w:r>
        <w:rPr>
          <w:color w:val="000000"/>
        </w:rPr>
        <w:t>文件第二章“</w:t>
      </w:r>
      <w:r>
        <w:rPr>
          <w:rFonts w:hint="eastAsia"/>
          <w:color w:val="000000"/>
        </w:rPr>
        <w:t>比选申请</w:t>
      </w:r>
      <w:r>
        <w:rPr>
          <w:color w:val="000000"/>
        </w:rPr>
        <w:t>人须知”前附表第</w:t>
      </w:r>
      <w:r>
        <w:rPr>
          <w:rFonts w:hint="eastAsia"/>
          <w:color w:val="000000"/>
        </w:rPr>
        <w:t>43</w:t>
      </w:r>
      <w:r>
        <w:rPr>
          <w:color w:val="000000"/>
        </w:rPr>
        <w:t>项</w:t>
      </w:r>
      <w:r>
        <w:rPr>
          <w:rFonts w:hint="eastAsia"/>
          <w:color w:val="000000"/>
        </w:rPr>
        <w:t>比选申请</w:t>
      </w:r>
      <w:r>
        <w:rPr>
          <w:color w:val="000000"/>
        </w:rPr>
        <w:t>文件的真实性要求和其他有关规定承担责任。</w:t>
      </w:r>
    </w:p>
    <w:p w14:paraId="19A57810">
      <w:pPr>
        <w:spacing w:line="360" w:lineRule="auto"/>
        <w:jc w:val="center"/>
        <w:rPr>
          <w:b/>
          <w:color w:val="000000"/>
          <w:sz w:val="24"/>
        </w:rPr>
      </w:pPr>
    </w:p>
    <w:p w14:paraId="7BFBCCA2">
      <w:pPr>
        <w:spacing w:line="360" w:lineRule="auto"/>
        <w:jc w:val="center"/>
        <w:rPr>
          <w:b/>
          <w:color w:val="000000"/>
          <w:sz w:val="24"/>
        </w:rPr>
      </w:pPr>
    </w:p>
    <w:p w14:paraId="05E6665B">
      <w:pPr>
        <w:spacing w:line="360" w:lineRule="auto"/>
        <w:jc w:val="center"/>
        <w:rPr>
          <w:b/>
          <w:color w:val="000000"/>
          <w:sz w:val="24"/>
        </w:rPr>
      </w:pPr>
    </w:p>
    <w:p w14:paraId="72F15C24">
      <w:pPr>
        <w:spacing w:line="360" w:lineRule="auto"/>
        <w:jc w:val="center"/>
        <w:rPr>
          <w:b/>
          <w:color w:val="000000"/>
          <w:sz w:val="24"/>
        </w:rPr>
      </w:pPr>
    </w:p>
    <w:p w14:paraId="3068BBED">
      <w:pPr>
        <w:spacing w:line="360" w:lineRule="auto"/>
        <w:jc w:val="center"/>
        <w:rPr>
          <w:b/>
          <w:color w:val="000000"/>
          <w:sz w:val="24"/>
        </w:rPr>
      </w:pPr>
    </w:p>
    <w:p w14:paraId="3CFE4DD6">
      <w:pPr>
        <w:spacing w:line="360" w:lineRule="auto"/>
        <w:jc w:val="center"/>
        <w:rPr>
          <w:b/>
          <w:color w:val="000000"/>
          <w:sz w:val="24"/>
        </w:rPr>
      </w:pPr>
    </w:p>
    <w:p w14:paraId="02FCE350">
      <w:pPr>
        <w:spacing w:line="360" w:lineRule="auto"/>
        <w:jc w:val="center"/>
        <w:rPr>
          <w:b/>
          <w:color w:val="000000"/>
          <w:sz w:val="24"/>
        </w:rPr>
      </w:pPr>
    </w:p>
    <w:p w14:paraId="3AA91C00">
      <w:pPr>
        <w:spacing w:line="360" w:lineRule="auto"/>
        <w:ind w:firstLine="3990" w:firstLineChars="1900"/>
        <w:jc w:val="right"/>
        <w:rPr>
          <w:color w:val="000000"/>
          <w:szCs w:val="21"/>
        </w:rPr>
      </w:pPr>
      <w:r>
        <w:rPr>
          <w:rFonts w:hint="eastAsia"/>
          <w:color w:val="000000"/>
        </w:rPr>
        <w:t>比选申请人</w:t>
      </w:r>
      <w:r>
        <w:rPr>
          <w:color w:val="000000"/>
          <w:szCs w:val="21"/>
        </w:rPr>
        <w:t>名称：____</w:t>
      </w:r>
      <w:r>
        <w:rPr>
          <w:rFonts w:hint="eastAsia" w:ascii="宋体" w:hAnsi="宋体"/>
          <w:sz w:val="24"/>
          <w:u w:val="single"/>
        </w:rPr>
        <w:t>（单位全称）</w:t>
      </w:r>
      <w:r>
        <w:rPr>
          <w:color w:val="000000"/>
          <w:szCs w:val="21"/>
        </w:rPr>
        <w:t>_____(盖单位章)</w:t>
      </w:r>
    </w:p>
    <w:p w14:paraId="04A3FEBA">
      <w:pPr>
        <w:pStyle w:val="2"/>
        <w:jc w:val="right"/>
        <w:rPr>
          <w:rFonts w:ascii="Times New Roman"/>
          <w:color w:val="000000"/>
          <w:szCs w:val="21"/>
        </w:rPr>
      </w:pPr>
      <w:r>
        <w:rPr>
          <w:rFonts w:ascii="Times New Roman"/>
          <w:color w:val="000000"/>
          <w:kern w:val="2"/>
          <w:sz w:val="21"/>
          <w:szCs w:val="24"/>
        </w:rPr>
        <w:t>法定代表人或其委托代理人：______________</w:t>
      </w:r>
      <w:r>
        <w:rPr>
          <w:rFonts w:hint="eastAsia" w:ascii="Times New Roman"/>
          <w:color w:val="000000"/>
          <w:kern w:val="2"/>
          <w:sz w:val="21"/>
          <w:szCs w:val="24"/>
        </w:rPr>
        <w:t>（签字）</w:t>
      </w:r>
    </w:p>
    <w:p w14:paraId="226FDE12">
      <w:pPr>
        <w:spacing w:line="360" w:lineRule="auto"/>
        <w:jc w:val="right"/>
        <w:rPr>
          <w:rFonts w:ascii="宋体"/>
          <w:sz w:val="24"/>
        </w:rPr>
      </w:pPr>
      <w:r>
        <w:rPr>
          <w:rFonts w:hint="eastAsia" w:ascii="宋体" w:hAnsi="宋体"/>
          <w:sz w:val="24"/>
        </w:rPr>
        <w:t>年月日</w:t>
      </w:r>
    </w:p>
    <w:p w14:paraId="38A70A5E">
      <w:pPr>
        <w:jc w:val="right"/>
      </w:pPr>
    </w:p>
    <w:p w14:paraId="7B4589F8"/>
    <w:p w14:paraId="35CAD66C"/>
    <w:p w14:paraId="4190B34B"/>
    <w:p w14:paraId="60A7E0C3">
      <w:pPr>
        <w:rPr>
          <w:rFonts w:hint="eastAsia"/>
        </w:rPr>
      </w:pPr>
      <w:r>
        <w:rPr>
          <w:rFonts w:hint="eastAsia"/>
        </w:rPr>
        <w:br w:type="page"/>
      </w:r>
    </w:p>
    <w:p w14:paraId="673B17B7">
      <w:pPr>
        <w:pStyle w:val="7"/>
      </w:pPr>
      <w:r>
        <w:rPr>
          <w:rFonts w:hint="eastAsia"/>
        </w:rPr>
        <w:t>二、法定代表人身份证明及授权委托书</w:t>
      </w:r>
    </w:p>
    <w:p w14:paraId="6109AEA8">
      <w:pPr>
        <w:pStyle w:val="8"/>
      </w:pPr>
      <w:r>
        <w:rPr>
          <w:rFonts w:hint="eastAsia"/>
        </w:rPr>
        <w:t>2-1授权委托书</w:t>
      </w:r>
    </w:p>
    <w:p w14:paraId="4B7E4171">
      <w:pPr>
        <w:spacing w:line="360" w:lineRule="auto"/>
        <w:rPr>
          <w:rFonts w:ascii="宋体"/>
        </w:rPr>
      </w:pPr>
    </w:p>
    <w:p w14:paraId="45A160CB">
      <w:pPr>
        <w:spacing w:line="440" w:lineRule="exact"/>
        <w:ind w:firstLine="480" w:firstLineChars="200"/>
        <w:rPr>
          <w:rFonts w:hint="eastAsia" w:ascii="宋体" w:hAnsi="宋体" w:cs="宋体"/>
          <w:sz w:val="24"/>
        </w:rPr>
      </w:pPr>
      <w:r>
        <w:rPr>
          <w:rFonts w:hint="eastAsia" w:ascii="宋体" w:hAnsi="宋体" w:cs="宋体"/>
          <w:sz w:val="24"/>
        </w:rPr>
        <w:t>本人</w:t>
      </w:r>
      <w:r>
        <w:rPr>
          <w:rFonts w:hint="eastAsia" w:ascii="宋体" w:hAnsi="宋体" w:cs="宋体"/>
          <w:sz w:val="24"/>
          <w:u w:val="single"/>
        </w:rPr>
        <w:t xml:space="preserve">    （姓名）</w:t>
      </w:r>
      <w:r>
        <w:rPr>
          <w:rFonts w:hint="eastAsia" w:ascii="宋体" w:hAnsi="宋体" w:cs="宋体"/>
          <w:sz w:val="24"/>
        </w:rPr>
        <w:t>系</w:t>
      </w:r>
      <w:r>
        <w:rPr>
          <w:rFonts w:hint="eastAsia" w:ascii="宋体" w:hAnsi="宋体" w:cs="宋体"/>
          <w:sz w:val="24"/>
          <w:u w:val="single"/>
        </w:rPr>
        <w:t xml:space="preserve">（比选申请人名称） </w:t>
      </w:r>
      <w:r>
        <w:rPr>
          <w:rFonts w:hint="eastAsia" w:ascii="宋体" w:hAnsi="宋体" w:cs="宋体"/>
          <w:sz w:val="24"/>
        </w:rPr>
        <w:t>的法定代表人，现委托</w:t>
      </w:r>
      <w:r>
        <w:rPr>
          <w:rFonts w:hint="eastAsia" w:ascii="宋体" w:hAnsi="宋体" w:cs="宋体"/>
          <w:sz w:val="24"/>
          <w:u w:val="single"/>
        </w:rPr>
        <w:t xml:space="preserve">       （姓名）</w:t>
      </w:r>
      <w:r>
        <w:rPr>
          <w:rFonts w:hint="eastAsia" w:ascii="宋体" w:hAnsi="宋体" w:cs="宋体"/>
          <w:sz w:val="24"/>
        </w:rPr>
        <w:t>为我方代理人。代理人根据授权，以我方名义签署、澄清确认、递交、撤回、修改</w:t>
      </w:r>
      <w:r>
        <w:rPr>
          <w:rFonts w:hint="eastAsia" w:ascii="宋体" w:hAnsi="宋体" w:cs="宋体"/>
          <w:sz w:val="24"/>
          <w:u w:val="single"/>
        </w:rPr>
        <w:t>（项目名称）</w:t>
      </w:r>
      <w:r>
        <w:rPr>
          <w:rFonts w:hint="eastAsia" w:ascii="宋体" w:hAnsi="宋体" w:cs="宋体"/>
          <w:sz w:val="24"/>
        </w:rPr>
        <w:t>比选申请文件、签订合同和处理有关事宜，其法律后果由我方承担。</w:t>
      </w:r>
    </w:p>
    <w:p w14:paraId="5B0B364B">
      <w:pPr>
        <w:spacing w:line="440" w:lineRule="exact"/>
        <w:ind w:firstLine="480" w:firstLineChars="200"/>
        <w:rPr>
          <w:rFonts w:hint="eastAsia" w:ascii="宋体" w:hAnsi="宋体" w:cs="宋体"/>
          <w:sz w:val="24"/>
        </w:rPr>
      </w:pPr>
      <w:r>
        <w:rPr>
          <w:rFonts w:hint="eastAsia" w:ascii="宋体" w:hAnsi="宋体" w:cs="宋体"/>
          <w:sz w:val="24"/>
        </w:rPr>
        <w:t>委托期限：自本委托书签署之日起至比选申请有效期期满。</w:t>
      </w:r>
    </w:p>
    <w:p w14:paraId="582EC053">
      <w:pPr>
        <w:spacing w:line="440" w:lineRule="exact"/>
        <w:ind w:firstLine="480" w:firstLineChars="200"/>
        <w:rPr>
          <w:rFonts w:hint="eastAsia" w:ascii="宋体" w:hAnsi="宋体" w:cs="宋体"/>
          <w:sz w:val="24"/>
        </w:rPr>
      </w:pPr>
      <w:r>
        <w:rPr>
          <w:rFonts w:hint="eastAsia" w:ascii="宋体" w:hAnsi="宋体" w:cs="宋体"/>
          <w:sz w:val="24"/>
        </w:rPr>
        <w:t>代理人无转委托权。</w:t>
      </w:r>
    </w:p>
    <w:p w14:paraId="14950B45">
      <w:pPr>
        <w:spacing w:line="440" w:lineRule="exact"/>
        <w:ind w:firstLine="480" w:firstLineChars="200"/>
        <w:rPr>
          <w:rFonts w:hint="eastAsia" w:ascii="宋体" w:hAnsi="宋体" w:cs="宋体"/>
          <w:sz w:val="24"/>
        </w:rPr>
      </w:pPr>
      <w:r>
        <w:rPr>
          <w:rFonts w:hint="eastAsia" w:ascii="宋体" w:hAnsi="宋体" w:cs="宋体"/>
          <w:sz w:val="24"/>
        </w:rPr>
        <w:t>附：（1）法定代表人身份证明原件。</w:t>
      </w:r>
    </w:p>
    <w:p w14:paraId="34DE04BF">
      <w:pPr>
        <w:spacing w:line="440" w:lineRule="exact"/>
        <w:ind w:firstLine="960" w:firstLineChars="400"/>
        <w:rPr>
          <w:rFonts w:hint="eastAsia" w:ascii="宋体" w:hAnsi="宋体" w:cs="宋体"/>
          <w:sz w:val="24"/>
        </w:rPr>
      </w:pPr>
      <w:r>
        <w:rPr>
          <w:rFonts w:hint="eastAsia" w:ascii="宋体" w:hAnsi="宋体" w:cs="宋体"/>
          <w:sz w:val="24"/>
        </w:rPr>
        <w:t>（2）委托代理人身份原件复印件。</w:t>
      </w:r>
    </w:p>
    <w:p w14:paraId="4468F372">
      <w:pPr>
        <w:spacing w:line="360" w:lineRule="auto"/>
        <w:rPr>
          <w:rFonts w:ascii="宋体"/>
          <w:szCs w:val="21"/>
        </w:rPr>
      </w:pPr>
    </w:p>
    <w:p w14:paraId="09503103">
      <w:pPr>
        <w:spacing w:line="360" w:lineRule="auto"/>
        <w:rPr>
          <w:rFonts w:ascii="宋体"/>
          <w:szCs w:val="21"/>
        </w:rPr>
      </w:pPr>
    </w:p>
    <w:p w14:paraId="6474F656">
      <w:pPr>
        <w:spacing w:line="360" w:lineRule="auto"/>
        <w:ind w:firstLine="4320" w:firstLineChars="1800"/>
        <w:rPr>
          <w:rFonts w:ascii="宋体"/>
          <w:sz w:val="24"/>
        </w:rPr>
      </w:pPr>
      <w:r>
        <w:rPr>
          <w:rFonts w:hint="eastAsia" w:ascii="宋体" w:hAnsi="宋体"/>
          <w:sz w:val="24"/>
        </w:rPr>
        <w:t>比选申请人：</w:t>
      </w:r>
      <w:r>
        <w:rPr>
          <w:rFonts w:hint="eastAsia" w:ascii="宋体" w:hAnsi="宋体"/>
          <w:sz w:val="24"/>
          <w:u w:val="single"/>
        </w:rPr>
        <w:t>（单位全称）    （盖单位章）</w:t>
      </w:r>
    </w:p>
    <w:p w14:paraId="761B2E8F">
      <w:pPr>
        <w:spacing w:line="360" w:lineRule="auto"/>
        <w:ind w:firstLine="4320" w:firstLineChars="1800"/>
        <w:rPr>
          <w:rFonts w:ascii="宋体"/>
          <w:sz w:val="24"/>
        </w:rPr>
      </w:pPr>
    </w:p>
    <w:p w14:paraId="0BD624AE">
      <w:pPr>
        <w:pStyle w:val="2"/>
        <w:ind w:firstLine="480"/>
        <w:jc w:val="center"/>
        <w:rPr>
          <w:sz w:val="24"/>
        </w:rPr>
      </w:pPr>
      <w:r>
        <w:rPr>
          <w:rFonts w:hint="eastAsia" w:hAnsi="宋体"/>
          <w:sz w:val="24"/>
        </w:rPr>
        <w:t xml:space="preserve">               法定代表人：</w:t>
      </w:r>
      <w:r>
        <w:rPr>
          <w:rFonts w:ascii="Times New Roman"/>
          <w:color w:val="000000"/>
          <w:kern w:val="2"/>
          <w:sz w:val="21"/>
          <w:szCs w:val="24"/>
        </w:rPr>
        <w:t>______________</w:t>
      </w:r>
      <w:r>
        <w:rPr>
          <w:rFonts w:hint="eastAsia" w:ascii="Times New Roman"/>
          <w:color w:val="000000"/>
          <w:kern w:val="2"/>
          <w:sz w:val="21"/>
          <w:szCs w:val="24"/>
        </w:rPr>
        <w:t>（签字）</w:t>
      </w:r>
    </w:p>
    <w:p w14:paraId="3149DD16">
      <w:pPr>
        <w:spacing w:line="360" w:lineRule="auto"/>
        <w:ind w:firstLine="4320" w:firstLineChars="1800"/>
        <w:rPr>
          <w:rFonts w:ascii="宋体"/>
          <w:sz w:val="24"/>
        </w:rPr>
      </w:pPr>
      <w:r>
        <w:rPr>
          <w:rFonts w:hint="eastAsia" w:ascii="宋体" w:hAnsi="宋体"/>
          <w:sz w:val="24"/>
        </w:rPr>
        <w:t>身份证号码：</w:t>
      </w:r>
      <w:r>
        <w:rPr>
          <w:color w:val="000000"/>
        </w:rPr>
        <w:t>______________</w:t>
      </w:r>
    </w:p>
    <w:p w14:paraId="79B35F78">
      <w:pPr>
        <w:spacing w:line="360" w:lineRule="auto"/>
        <w:ind w:firstLine="4320" w:firstLineChars="1800"/>
        <w:rPr>
          <w:rFonts w:ascii="宋体"/>
          <w:sz w:val="24"/>
        </w:rPr>
      </w:pPr>
    </w:p>
    <w:p w14:paraId="71626D8F">
      <w:pPr>
        <w:spacing w:line="360" w:lineRule="auto"/>
        <w:ind w:firstLine="4320" w:firstLineChars="1800"/>
        <w:rPr>
          <w:rFonts w:ascii="宋体"/>
          <w:sz w:val="24"/>
        </w:rPr>
      </w:pPr>
      <w:r>
        <w:rPr>
          <w:rFonts w:hint="eastAsia" w:ascii="宋体" w:hAnsi="宋体"/>
          <w:sz w:val="24"/>
        </w:rPr>
        <w:t>委托代理人：</w:t>
      </w:r>
      <w:r>
        <w:rPr>
          <w:color w:val="000000"/>
        </w:rPr>
        <w:t>______________</w:t>
      </w:r>
      <w:r>
        <w:rPr>
          <w:color w:val="000000"/>
          <w:szCs w:val="21"/>
        </w:rPr>
        <w:t>(签字)</w:t>
      </w:r>
    </w:p>
    <w:p w14:paraId="68120799">
      <w:pPr>
        <w:spacing w:line="360" w:lineRule="auto"/>
        <w:ind w:firstLine="4320" w:firstLineChars="1800"/>
        <w:rPr>
          <w:rFonts w:ascii="宋体"/>
          <w:sz w:val="24"/>
        </w:rPr>
      </w:pPr>
      <w:r>
        <w:rPr>
          <w:rFonts w:hint="eastAsia" w:ascii="宋体" w:hAnsi="宋体"/>
          <w:sz w:val="24"/>
        </w:rPr>
        <w:t>身份证号码：</w:t>
      </w:r>
      <w:r>
        <w:rPr>
          <w:color w:val="000000"/>
        </w:rPr>
        <w:t>______________</w:t>
      </w:r>
    </w:p>
    <w:p w14:paraId="16BA7424">
      <w:pPr>
        <w:spacing w:line="360" w:lineRule="auto"/>
        <w:rPr>
          <w:rFonts w:ascii="宋体"/>
          <w:sz w:val="24"/>
        </w:rPr>
      </w:pPr>
    </w:p>
    <w:p w14:paraId="0A0650B7">
      <w:pPr>
        <w:spacing w:line="360" w:lineRule="auto"/>
        <w:jc w:val="center"/>
        <w:rPr>
          <w:rFonts w:ascii="宋体"/>
          <w:sz w:val="24"/>
        </w:rPr>
      </w:pPr>
      <w:r>
        <w:rPr>
          <w:rFonts w:hint="eastAsia" w:ascii="宋体" w:hAnsi="宋体"/>
          <w:sz w:val="24"/>
        </w:rPr>
        <w:t>年月日</w:t>
      </w:r>
    </w:p>
    <w:p w14:paraId="2F532278">
      <w:pPr>
        <w:spacing w:line="360" w:lineRule="auto"/>
        <w:rPr>
          <w:rFonts w:ascii="宋体"/>
          <w:b/>
          <w:szCs w:val="21"/>
        </w:rPr>
      </w:pPr>
    </w:p>
    <w:p w14:paraId="235E32F5">
      <w:pPr>
        <w:pStyle w:val="2"/>
        <w:spacing w:after="0"/>
        <w:ind w:firstLine="560"/>
      </w:pPr>
    </w:p>
    <w:p w14:paraId="6FD5A0EA">
      <w:pPr>
        <w:pStyle w:val="2"/>
        <w:spacing w:after="0"/>
        <w:ind w:firstLine="560"/>
      </w:pPr>
    </w:p>
    <w:p w14:paraId="718B2EE2">
      <w:pPr>
        <w:spacing w:line="360" w:lineRule="auto"/>
        <w:rPr>
          <w:rFonts w:ascii="宋体"/>
          <w:sz w:val="32"/>
        </w:rPr>
      </w:pPr>
    </w:p>
    <w:p w14:paraId="03929A4D">
      <w:pPr>
        <w:pStyle w:val="15"/>
        <w:jc w:val="center"/>
        <w:rPr>
          <w:rFonts w:hint="eastAsia" w:hAnsi="宋体"/>
          <w:b/>
          <w:sz w:val="28"/>
          <w:szCs w:val="28"/>
        </w:rPr>
      </w:pPr>
    </w:p>
    <w:p w14:paraId="2A363BBD">
      <w:pPr>
        <w:pStyle w:val="8"/>
      </w:pPr>
      <w:r>
        <w:t xml:space="preserve">2-2 </w:t>
      </w:r>
      <w:r>
        <w:rPr>
          <w:rFonts w:hint="eastAsia"/>
        </w:rPr>
        <w:t>法定代表人身份证明</w:t>
      </w:r>
    </w:p>
    <w:p w14:paraId="7D9E8B3C">
      <w:pPr>
        <w:spacing w:line="360" w:lineRule="auto"/>
        <w:rPr>
          <w:rFonts w:ascii="宋体"/>
          <w:sz w:val="32"/>
        </w:rPr>
      </w:pPr>
    </w:p>
    <w:p w14:paraId="46508B3C">
      <w:pPr>
        <w:spacing w:line="360" w:lineRule="auto"/>
        <w:rPr>
          <w:rFonts w:ascii="宋体"/>
          <w:sz w:val="24"/>
          <w:u w:val="single"/>
        </w:rPr>
      </w:pPr>
      <w:r>
        <w:rPr>
          <w:rFonts w:hint="eastAsia" w:ascii="宋体" w:hAnsi="宋体"/>
          <w:sz w:val="24"/>
          <w:u w:val="single"/>
        </w:rPr>
        <w:t xml:space="preserve">            </w:t>
      </w:r>
      <w:r>
        <w:rPr>
          <w:color w:val="000000"/>
          <w:u w:val="single"/>
        </w:rPr>
        <w:t>（</w:t>
      </w:r>
      <w:r>
        <w:rPr>
          <w:rFonts w:hint="eastAsia"/>
          <w:color w:val="000000"/>
          <w:u w:val="single"/>
        </w:rPr>
        <w:t>比选</w:t>
      </w:r>
      <w:r>
        <w:rPr>
          <w:color w:val="000000"/>
          <w:u w:val="single"/>
        </w:rPr>
        <w:t>人名称）</w:t>
      </w:r>
      <w:r>
        <w:rPr>
          <w:rFonts w:hint="eastAsia" w:ascii="宋体" w:hAnsi="宋体"/>
          <w:sz w:val="24"/>
          <w:u w:val="single"/>
        </w:rPr>
        <w:t>：</w:t>
      </w:r>
    </w:p>
    <w:p w14:paraId="1AFA622D">
      <w:pPr>
        <w:spacing w:line="360" w:lineRule="auto"/>
        <w:ind w:firstLine="480" w:firstLineChars="200"/>
        <w:rPr>
          <w:rFonts w:ascii="宋体"/>
          <w:sz w:val="24"/>
        </w:rPr>
      </w:pPr>
      <w:r>
        <w:rPr>
          <w:rFonts w:hint="eastAsia" w:ascii="宋体" w:hAnsi="宋体"/>
          <w:sz w:val="24"/>
        </w:rPr>
        <w:t>姓名：</w:t>
      </w:r>
      <w:r>
        <w:rPr>
          <w:rFonts w:hint="eastAsia" w:ascii="宋体" w:hAnsi="宋体"/>
          <w:sz w:val="24"/>
          <w:u w:val="single"/>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（比选申请人名称）</w:t>
      </w:r>
      <w:r>
        <w:rPr>
          <w:rFonts w:hint="eastAsia" w:ascii="宋体" w:hAnsi="宋体"/>
          <w:sz w:val="24"/>
        </w:rPr>
        <w:t>的法定代表人。</w:t>
      </w:r>
    </w:p>
    <w:p w14:paraId="129528F9">
      <w:pPr>
        <w:spacing w:line="360" w:lineRule="auto"/>
        <w:ind w:firstLine="420"/>
        <w:rPr>
          <w:rFonts w:ascii="宋体"/>
          <w:sz w:val="24"/>
        </w:rPr>
      </w:pPr>
      <w:r>
        <w:rPr>
          <w:rFonts w:hint="eastAsia" w:ascii="宋体" w:hAnsi="宋体"/>
          <w:sz w:val="24"/>
        </w:rPr>
        <w:t>特此证明。</w:t>
      </w:r>
    </w:p>
    <w:p w14:paraId="7F519D03">
      <w:pPr>
        <w:spacing w:line="360" w:lineRule="auto"/>
        <w:ind w:firstLine="420"/>
        <w:rPr>
          <w:rFonts w:ascii="宋体"/>
          <w:szCs w:val="21"/>
        </w:rPr>
      </w:pPr>
    </w:p>
    <w:p w14:paraId="79018402">
      <w:pPr>
        <w:spacing w:line="360" w:lineRule="auto"/>
        <w:ind w:firstLine="420"/>
        <w:rPr>
          <w:rFonts w:ascii="宋体"/>
          <w:szCs w:val="21"/>
        </w:rPr>
      </w:pPr>
      <w:r>
        <mc:AlternateContent>
          <mc:Choice Requires="wps">
            <w:drawing>
              <wp:anchor distT="0" distB="0" distL="0" distR="0" simplePos="0" relativeHeight="251660288" behindDoc="0" locked="0" layoutInCell="1" allowOverlap="1">
                <wp:simplePos x="0" y="0"/>
                <wp:positionH relativeFrom="column">
                  <wp:posOffset>1084580</wp:posOffset>
                </wp:positionH>
                <wp:positionV relativeFrom="paragraph">
                  <wp:posOffset>180975</wp:posOffset>
                </wp:positionV>
                <wp:extent cx="3735070" cy="1595755"/>
                <wp:effectExtent l="5080" t="4445" r="12700" b="19050"/>
                <wp:wrapNone/>
                <wp:docPr id="1027" name="文本框 6"/>
                <wp:cNvGraphicFramePr/>
                <a:graphic xmlns:a="http://schemas.openxmlformats.org/drawingml/2006/main">
                  <a:graphicData uri="http://schemas.microsoft.com/office/word/2010/wordprocessingShape">
                    <wps:wsp>
                      <wps:cNvSpPr/>
                      <wps:spPr>
                        <a:xfrm>
                          <a:off x="0" y="0"/>
                          <a:ext cx="3735069" cy="15957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02A63B">
                            <w:pPr>
                              <w:spacing w:line="360" w:lineRule="auto"/>
                              <w:ind w:firstLine="420"/>
                              <w:rPr>
                                <w:rFonts w:hint="eastAsia" w:ascii="宋体" w:hAnsi="宋体"/>
                                <w:sz w:val="24"/>
                              </w:rPr>
                            </w:pPr>
                            <w:r>
                              <w:rPr>
                                <w:rFonts w:hint="eastAsia" w:ascii="宋体" w:hAnsi="宋体"/>
                                <w:sz w:val="24"/>
                              </w:rPr>
                              <w:t>法定代表人身份证影印件（双面）</w:t>
                            </w:r>
                          </w:p>
                          <w:p w14:paraId="32B01BBE"/>
                        </w:txbxContent>
                      </wps:txbx>
                      <wps:bodyPr upright="1"/>
                    </wps:wsp>
                  </a:graphicData>
                </a:graphic>
              </wp:anchor>
            </w:drawing>
          </mc:Choice>
          <mc:Fallback>
            <w:pict>
              <v:rect id="文本框 6" o:spid="_x0000_s1026" o:spt="1" style="position:absolute;left:0pt;margin-left:85.4pt;margin-top:14.25pt;height:125.65pt;width:294.1pt;z-index:251660288;mso-width-relative:page;mso-height-relative:page;" fillcolor="#FFFFFF" filled="t" stroked="t" coordsize="21600,21600" o:gfxdata="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KHTz7YAAAACgEAAA8AAAAAAAAAAQAgAAAAIgAA&#10;AGRycy9kb3ducmV2LnhtbFBLAQIUABQAAAAIAIdO4kABvPiJCAIAADAEAAAOAAAAAAAAAAEAIAAA&#10;ACcBAABkcnMvZTJvRG9jLnhtbFBLBQYAAAAABgAGAFkBAAChBQAAAAA=&#10;">
                <v:fill on="t" focussize="0,0"/>
                <v:stroke color="#000000" joinstyle="miter"/>
                <v:imagedata o:title=""/>
                <o:lock v:ext="edit" aspectratio="f"/>
                <v:textbox>
                  <w:txbxContent>
                    <w:p w14:paraId="5A02A63B">
                      <w:pPr>
                        <w:spacing w:line="360" w:lineRule="auto"/>
                        <w:ind w:firstLine="420"/>
                        <w:rPr>
                          <w:rFonts w:hint="eastAsia" w:ascii="宋体" w:hAnsi="宋体"/>
                          <w:sz w:val="24"/>
                        </w:rPr>
                      </w:pPr>
                      <w:r>
                        <w:rPr>
                          <w:rFonts w:hint="eastAsia" w:ascii="宋体" w:hAnsi="宋体"/>
                          <w:sz w:val="24"/>
                        </w:rPr>
                        <w:t>法定代表人身份证影印件（双面）</w:t>
                      </w:r>
                    </w:p>
                    <w:p w14:paraId="32B01BBE"/>
                  </w:txbxContent>
                </v:textbox>
              </v:rect>
            </w:pict>
          </mc:Fallback>
        </mc:AlternateContent>
      </w:r>
    </w:p>
    <w:p w14:paraId="292512F4">
      <w:pPr>
        <w:spacing w:line="360" w:lineRule="auto"/>
        <w:ind w:firstLine="420"/>
        <w:rPr>
          <w:rFonts w:ascii="宋体"/>
          <w:szCs w:val="21"/>
        </w:rPr>
      </w:pPr>
    </w:p>
    <w:p w14:paraId="0E54E6B2">
      <w:pPr>
        <w:spacing w:line="360" w:lineRule="auto"/>
        <w:ind w:firstLine="420"/>
        <w:rPr>
          <w:rFonts w:ascii="宋体"/>
          <w:szCs w:val="21"/>
        </w:rPr>
      </w:pPr>
    </w:p>
    <w:p w14:paraId="6A22FC26">
      <w:pPr>
        <w:spacing w:line="360" w:lineRule="auto"/>
        <w:ind w:firstLine="420"/>
        <w:rPr>
          <w:rFonts w:ascii="宋体"/>
          <w:szCs w:val="21"/>
        </w:rPr>
      </w:pPr>
    </w:p>
    <w:p w14:paraId="5B303491">
      <w:pPr>
        <w:spacing w:line="360" w:lineRule="auto"/>
        <w:ind w:firstLine="420"/>
        <w:rPr>
          <w:rFonts w:ascii="宋体"/>
          <w:szCs w:val="21"/>
        </w:rPr>
      </w:pPr>
    </w:p>
    <w:p w14:paraId="635D74B1">
      <w:pPr>
        <w:spacing w:line="360" w:lineRule="auto"/>
        <w:ind w:firstLine="420"/>
        <w:rPr>
          <w:rFonts w:ascii="宋体"/>
          <w:szCs w:val="21"/>
        </w:rPr>
      </w:pPr>
    </w:p>
    <w:p w14:paraId="13529839">
      <w:pPr>
        <w:spacing w:line="360" w:lineRule="auto"/>
        <w:ind w:firstLine="420"/>
        <w:rPr>
          <w:rFonts w:ascii="宋体"/>
          <w:szCs w:val="21"/>
        </w:rPr>
      </w:pPr>
    </w:p>
    <w:p w14:paraId="62A68817">
      <w:pPr>
        <w:spacing w:line="360" w:lineRule="auto"/>
        <w:ind w:firstLine="420"/>
        <w:rPr>
          <w:rFonts w:ascii="宋体"/>
          <w:szCs w:val="21"/>
        </w:rPr>
      </w:pPr>
    </w:p>
    <w:p w14:paraId="29BFBBD7">
      <w:pPr>
        <w:spacing w:line="360" w:lineRule="auto"/>
        <w:ind w:firstLine="420"/>
        <w:rPr>
          <w:rFonts w:ascii="宋体"/>
          <w:szCs w:val="21"/>
        </w:rPr>
      </w:pPr>
    </w:p>
    <w:p w14:paraId="3B95E6A5">
      <w:pPr>
        <w:spacing w:line="360" w:lineRule="auto"/>
        <w:ind w:firstLine="3900" w:firstLineChars="1850"/>
        <w:rPr>
          <w:rFonts w:ascii="宋体"/>
          <w:b/>
          <w:szCs w:val="21"/>
        </w:rPr>
      </w:pPr>
    </w:p>
    <w:p w14:paraId="00BE22FC">
      <w:pPr>
        <w:spacing w:line="360" w:lineRule="auto"/>
        <w:ind w:firstLine="3900" w:firstLineChars="1850"/>
        <w:rPr>
          <w:rFonts w:ascii="宋体"/>
          <w:b/>
          <w:szCs w:val="21"/>
        </w:rPr>
      </w:pPr>
    </w:p>
    <w:p w14:paraId="1950C543">
      <w:pPr>
        <w:spacing w:line="360" w:lineRule="auto"/>
        <w:ind w:firstLine="4440" w:firstLineChars="1850"/>
        <w:jc w:val="right"/>
        <w:rPr>
          <w:rFonts w:ascii="宋体"/>
          <w:sz w:val="24"/>
        </w:rPr>
      </w:pPr>
    </w:p>
    <w:p w14:paraId="4AAC5928">
      <w:pPr>
        <w:spacing w:line="360" w:lineRule="auto"/>
        <w:jc w:val="right"/>
        <w:rPr>
          <w:rFonts w:ascii="宋体"/>
          <w:sz w:val="24"/>
        </w:rPr>
      </w:pPr>
      <w:r>
        <w:rPr>
          <w:rFonts w:hint="eastAsia" w:ascii="宋体" w:hAnsi="宋体"/>
          <w:sz w:val="24"/>
        </w:rPr>
        <w:t>比选申请人：</w:t>
      </w:r>
      <w:r>
        <w:rPr>
          <w:rFonts w:hint="eastAsia" w:ascii="宋体" w:hAnsi="宋体"/>
          <w:sz w:val="24"/>
          <w:u w:val="single"/>
        </w:rPr>
        <w:t>（单位全称）（盖单位章）</w:t>
      </w:r>
    </w:p>
    <w:p w14:paraId="50E53340">
      <w:pPr>
        <w:spacing w:line="360" w:lineRule="auto"/>
        <w:ind w:firstLine="6840" w:firstLineChars="2850"/>
        <w:jc w:val="center"/>
        <w:rPr>
          <w:rFonts w:ascii="宋体"/>
          <w:sz w:val="24"/>
        </w:rPr>
      </w:pPr>
    </w:p>
    <w:p w14:paraId="03EC0CFF">
      <w:pPr>
        <w:spacing w:line="360" w:lineRule="auto"/>
        <w:jc w:val="right"/>
        <w:rPr>
          <w:rFonts w:ascii="宋体"/>
          <w:szCs w:val="21"/>
        </w:rPr>
      </w:pP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11BB57F3">
      <w:pPr>
        <w:spacing w:line="360" w:lineRule="auto"/>
        <w:rPr>
          <w:rFonts w:ascii="宋体"/>
          <w:sz w:val="32"/>
        </w:rPr>
      </w:pPr>
    </w:p>
    <w:p w14:paraId="5B29B96D">
      <w:pPr>
        <w:pStyle w:val="2"/>
        <w:spacing w:after="0"/>
        <w:ind w:left="0" w:leftChars="0" w:firstLine="0" w:firstLineChars="0"/>
      </w:pPr>
    </w:p>
    <w:p w14:paraId="6ABB749E"/>
    <w:p w14:paraId="3475D26D"/>
    <w:p w14:paraId="27167132"/>
    <w:p w14:paraId="547A1931">
      <w:pPr>
        <w:pStyle w:val="7"/>
      </w:pPr>
      <w:r>
        <w:rPr>
          <w:rFonts w:hint="eastAsia"/>
        </w:rPr>
        <w:t>四、资格审查资料</w:t>
      </w:r>
    </w:p>
    <w:p w14:paraId="6B2560A3">
      <w:pPr>
        <w:pStyle w:val="8"/>
      </w:pPr>
      <w:r>
        <w:rPr>
          <w:rFonts w:hint="eastAsia"/>
        </w:rPr>
        <w:t>4</w:t>
      </w:r>
      <w:r>
        <w:t>-1</w:t>
      </w:r>
      <w:r>
        <w:rPr>
          <w:rFonts w:hint="eastAsia"/>
        </w:rPr>
        <w:t>比选申请人基本情况表</w:t>
      </w:r>
    </w:p>
    <w:tbl>
      <w:tblPr>
        <w:tblStyle w:val="26"/>
        <w:tblpPr w:leftFromText="180" w:rightFromText="180" w:vertAnchor="text" w:horzAnchor="page" w:tblpX="1333" w:tblpY="114"/>
        <w:tblOverlap w:val="never"/>
        <w:tblW w:w="91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51"/>
        <w:gridCol w:w="9"/>
        <w:gridCol w:w="3231"/>
        <w:gridCol w:w="1347"/>
        <w:gridCol w:w="2340"/>
      </w:tblGrid>
      <w:tr w14:paraId="6EB75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1" w:hRule="exact"/>
        </w:trPr>
        <w:tc>
          <w:tcPr>
            <w:tcW w:w="2251" w:type="dxa"/>
            <w:vAlign w:val="center"/>
          </w:tcPr>
          <w:p w14:paraId="13F94660">
            <w:pPr>
              <w:spacing w:line="600" w:lineRule="exact"/>
              <w:jc w:val="center"/>
              <w:rPr>
                <w:rFonts w:hint="eastAsia" w:ascii="宋体" w:hAnsi="宋体" w:cs="宋体"/>
                <w:b/>
                <w:bCs/>
                <w:sz w:val="24"/>
              </w:rPr>
            </w:pPr>
            <w:r>
              <w:rPr>
                <w:rFonts w:hint="eastAsia" w:ascii="宋体" w:hAnsi="宋体" w:cs="宋体"/>
                <w:b/>
                <w:bCs/>
                <w:sz w:val="24"/>
              </w:rPr>
              <w:t>企业名称</w:t>
            </w:r>
          </w:p>
        </w:tc>
        <w:tc>
          <w:tcPr>
            <w:tcW w:w="6927" w:type="dxa"/>
            <w:gridSpan w:val="4"/>
            <w:vAlign w:val="center"/>
          </w:tcPr>
          <w:p w14:paraId="5D0D9FC6">
            <w:pPr>
              <w:spacing w:line="600" w:lineRule="exact"/>
              <w:jc w:val="center"/>
              <w:rPr>
                <w:rFonts w:hint="eastAsia" w:ascii="宋体" w:hAnsi="宋体" w:cs="宋体"/>
                <w:sz w:val="24"/>
              </w:rPr>
            </w:pPr>
          </w:p>
        </w:tc>
      </w:tr>
      <w:tr w14:paraId="2AD45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2" w:hRule="exact"/>
        </w:trPr>
        <w:tc>
          <w:tcPr>
            <w:tcW w:w="2251" w:type="dxa"/>
            <w:vAlign w:val="center"/>
          </w:tcPr>
          <w:p w14:paraId="09F94D86">
            <w:pPr>
              <w:spacing w:line="600" w:lineRule="exact"/>
              <w:jc w:val="center"/>
              <w:rPr>
                <w:rFonts w:hint="eastAsia" w:ascii="宋体" w:hAnsi="宋体" w:cs="宋体"/>
                <w:b/>
                <w:bCs/>
                <w:sz w:val="24"/>
              </w:rPr>
            </w:pPr>
            <w:r>
              <w:rPr>
                <w:rFonts w:hint="eastAsia" w:ascii="宋体" w:hAnsi="宋体" w:cs="宋体"/>
                <w:b/>
                <w:bCs/>
                <w:sz w:val="24"/>
              </w:rPr>
              <w:t>地址</w:t>
            </w:r>
          </w:p>
        </w:tc>
        <w:tc>
          <w:tcPr>
            <w:tcW w:w="6927" w:type="dxa"/>
            <w:gridSpan w:val="4"/>
            <w:vAlign w:val="center"/>
          </w:tcPr>
          <w:p w14:paraId="3C1FCBA5">
            <w:pPr>
              <w:spacing w:line="600" w:lineRule="exact"/>
              <w:jc w:val="center"/>
              <w:rPr>
                <w:rFonts w:hint="eastAsia" w:ascii="宋体" w:hAnsi="宋体" w:cs="宋体"/>
                <w:sz w:val="24"/>
              </w:rPr>
            </w:pPr>
          </w:p>
        </w:tc>
      </w:tr>
      <w:tr w14:paraId="15EDE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exact"/>
        </w:trPr>
        <w:tc>
          <w:tcPr>
            <w:tcW w:w="2251" w:type="dxa"/>
            <w:vAlign w:val="center"/>
          </w:tcPr>
          <w:p w14:paraId="2FB7A5F9">
            <w:pPr>
              <w:spacing w:line="600" w:lineRule="exact"/>
              <w:jc w:val="center"/>
              <w:rPr>
                <w:rFonts w:hint="eastAsia" w:ascii="宋体" w:hAnsi="宋体" w:cs="宋体"/>
                <w:b/>
                <w:bCs/>
                <w:sz w:val="24"/>
              </w:rPr>
            </w:pPr>
            <w:r>
              <w:rPr>
                <w:rFonts w:hint="eastAsia" w:ascii="宋体" w:hAnsi="宋体" w:cs="宋体"/>
                <w:b/>
                <w:bCs/>
                <w:sz w:val="24"/>
              </w:rPr>
              <w:t>法定代表人</w:t>
            </w:r>
          </w:p>
        </w:tc>
        <w:tc>
          <w:tcPr>
            <w:tcW w:w="6927" w:type="dxa"/>
            <w:gridSpan w:val="4"/>
            <w:vAlign w:val="center"/>
          </w:tcPr>
          <w:p w14:paraId="33671DC5">
            <w:pPr>
              <w:spacing w:line="600" w:lineRule="exact"/>
              <w:jc w:val="center"/>
              <w:rPr>
                <w:rFonts w:hint="eastAsia" w:ascii="宋体" w:hAnsi="宋体" w:cs="宋体"/>
                <w:sz w:val="24"/>
              </w:rPr>
            </w:pPr>
          </w:p>
        </w:tc>
      </w:tr>
      <w:tr w14:paraId="1DB8E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exact"/>
        </w:trPr>
        <w:tc>
          <w:tcPr>
            <w:tcW w:w="2251" w:type="dxa"/>
            <w:vAlign w:val="center"/>
          </w:tcPr>
          <w:p w14:paraId="61B7BDF0">
            <w:pPr>
              <w:spacing w:line="600" w:lineRule="exact"/>
              <w:jc w:val="center"/>
              <w:rPr>
                <w:rFonts w:hint="eastAsia" w:ascii="宋体" w:hAnsi="宋体" w:cs="宋体"/>
                <w:b/>
                <w:bCs/>
                <w:sz w:val="24"/>
              </w:rPr>
            </w:pPr>
            <w:r>
              <w:rPr>
                <w:rFonts w:hint="eastAsia" w:ascii="宋体" w:hAnsi="宋体" w:cs="宋体"/>
                <w:b/>
                <w:bCs/>
                <w:sz w:val="24"/>
              </w:rPr>
              <w:t>企业类型</w:t>
            </w:r>
          </w:p>
        </w:tc>
        <w:tc>
          <w:tcPr>
            <w:tcW w:w="6927" w:type="dxa"/>
            <w:gridSpan w:val="4"/>
            <w:vAlign w:val="center"/>
          </w:tcPr>
          <w:p w14:paraId="60FE7AC6">
            <w:pPr>
              <w:spacing w:line="600" w:lineRule="exact"/>
              <w:jc w:val="center"/>
              <w:rPr>
                <w:rFonts w:hint="eastAsia" w:ascii="宋体" w:hAnsi="宋体" w:cs="宋体"/>
                <w:sz w:val="24"/>
              </w:rPr>
            </w:pPr>
          </w:p>
        </w:tc>
      </w:tr>
      <w:tr w14:paraId="61D72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trPr>
        <w:tc>
          <w:tcPr>
            <w:tcW w:w="2251" w:type="dxa"/>
            <w:vAlign w:val="center"/>
          </w:tcPr>
          <w:p w14:paraId="5AB2AA46">
            <w:pPr>
              <w:spacing w:line="600" w:lineRule="exact"/>
              <w:jc w:val="center"/>
              <w:rPr>
                <w:rFonts w:hint="eastAsia" w:ascii="宋体" w:hAnsi="宋体" w:cs="宋体"/>
                <w:b/>
                <w:bCs/>
                <w:sz w:val="24"/>
              </w:rPr>
            </w:pPr>
            <w:r>
              <w:rPr>
                <w:rFonts w:hint="eastAsia" w:ascii="宋体" w:hAnsi="宋体" w:cs="宋体"/>
                <w:b/>
                <w:bCs/>
                <w:sz w:val="24"/>
              </w:rPr>
              <w:t>经营范围</w:t>
            </w:r>
          </w:p>
        </w:tc>
        <w:tc>
          <w:tcPr>
            <w:tcW w:w="6927" w:type="dxa"/>
            <w:gridSpan w:val="4"/>
            <w:vAlign w:val="center"/>
          </w:tcPr>
          <w:p w14:paraId="133B37C5">
            <w:pPr>
              <w:spacing w:line="600" w:lineRule="exact"/>
              <w:jc w:val="center"/>
              <w:rPr>
                <w:rFonts w:hint="eastAsia" w:ascii="宋体" w:hAnsi="宋体" w:cs="宋体"/>
                <w:sz w:val="24"/>
              </w:rPr>
            </w:pPr>
          </w:p>
        </w:tc>
      </w:tr>
      <w:tr w14:paraId="5BF70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2" w:hRule="exact"/>
        </w:trPr>
        <w:tc>
          <w:tcPr>
            <w:tcW w:w="2260" w:type="dxa"/>
            <w:gridSpan w:val="2"/>
            <w:vAlign w:val="center"/>
          </w:tcPr>
          <w:p w14:paraId="1650AE8D">
            <w:pPr>
              <w:spacing w:line="600" w:lineRule="exact"/>
              <w:jc w:val="center"/>
              <w:rPr>
                <w:rFonts w:hint="eastAsia" w:ascii="宋体" w:hAnsi="宋体" w:cs="宋体"/>
                <w:b/>
                <w:bCs/>
                <w:sz w:val="24"/>
              </w:rPr>
            </w:pPr>
            <w:r>
              <w:rPr>
                <w:rFonts w:hint="eastAsia" w:ascii="宋体" w:hAnsi="宋体" w:cs="宋体"/>
                <w:b/>
                <w:bCs/>
                <w:sz w:val="24"/>
              </w:rPr>
              <w:t>营业执照号</w:t>
            </w:r>
          </w:p>
        </w:tc>
        <w:tc>
          <w:tcPr>
            <w:tcW w:w="3231" w:type="dxa"/>
            <w:vAlign w:val="center"/>
          </w:tcPr>
          <w:p w14:paraId="3045247A">
            <w:pPr>
              <w:spacing w:line="600" w:lineRule="exact"/>
              <w:jc w:val="center"/>
              <w:rPr>
                <w:rFonts w:hint="eastAsia" w:ascii="宋体" w:hAnsi="宋体" w:cs="宋体"/>
                <w:sz w:val="24"/>
              </w:rPr>
            </w:pPr>
          </w:p>
        </w:tc>
        <w:tc>
          <w:tcPr>
            <w:tcW w:w="1347" w:type="dxa"/>
            <w:vAlign w:val="center"/>
          </w:tcPr>
          <w:p w14:paraId="67951A36">
            <w:pPr>
              <w:spacing w:line="600" w:lineRule="exact"/>
              <w:jc w:val="center"/>
              <w:rPr>
                <w:rFonts w:hint="eastAsia" w:ascii="宋体" w:hAnsi="宋体" w:cs="宋体"/>
                <w:sz w:val="24"/>
              </w:rPr>
            </w:pPr>
            <w:r>
              <w:rPr>
                <w:rFonts w:hint="eastAsia" w:ascii="宋体" w:hAnsi="宋体" w:cs="宋体"/>
                <w:b/>
                <w:bCs/>
                <w:sz w:val="24"/>
              </w:rPr>
              <w:t>邮政编码</w:t>
            </w:r>
          </w:p>
        </w:tc>
        <w:tc>
          <w:tcPr>
            <w:tcW w:w="2340" w:type="dxa"/>
            <w:vAlign w:val="center"/>
          </w:tcPr>
          <w:p w14:paraId="5E1B64CE">
            <w:pPr>
              <w:spacing w:line="600" w:lineRule="exact"/>
              <w:jc w:val="center"/>
              <w:rPr>
                <w:rFonts w:hint="eastAsia" w:ascii="宋体" w:hAnsi="宋体" w:cs="宋体"/>
                <w:sz w:val="24"/>
              </w:rPr>
            </w:pPr>
          </w:p>
        </w:tc>
      </w:tr>
      <w:tr w14:paraId="1223B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9" w:hRule="exact"/>
        </w:trPr>
        <w:tc>
          <w:tcPr>
            <w:tcW w:w="2260" w:type="dxa"/>
            <w:gridSpan w:val="2"/>
            <w:vAlign w:val="center"/>
          </w:tcPr>
          <w:p w14:paraId="300176C5">
            <w:pPr>
              <w:spacing w:line="600" w:lineRule="exact"/>
              <w:jc w:val="center"/>
              <w:rPr>
                <w:rFonts w:hint="eastAsia" w:ascii="宋体" w:hAnsi="宋体" w:cs="宋体"/>
                <w:b/>
                <w:bCs/>
                <w:sz w:val="24"/>
              </w:rPr>
            </w:pPr>
            <w:r>
              <w:rPr>
                <w:rFonts w:hint="eastAsia" w:ascii="宋体" w:hAnsi="宋体" w:cs="宋体"/>
                <w:b/>
                <w:bCs/>
                <w:sz w:val="24"/>
              </w:rPr>
              <w:t>营业期限</w:t>
            </w:r>
          </w:p>
        </w:tc>
        <w:tc>
          <w:tcPr>
            <w:tcW w:w="6918" w:type="dxa"/>
            <w:gridSpan w:val="3"/>
            <w:vAlign w:val="center"/>
          </w:tcPr>
          <w:p w14:paraId="43363889">
            <w:pPr>
              <w:spacing w:line="600" w:lineRule="exact"/>
              <w:jc w:val="center"/>
              <w:rPr>
                <w:rFonts w:hint="eastAsia" w:ascii="宋体" w:hAnsi="宋体" w:cs="宋体"/>
                <w:sz w:val="24"/>
              </w:rPr>
            </w:pPr>
          </w:p>
        </w:tc>
      </w:tr>
      <w:tr w14:paraId="3F29A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2" w:hRule="exact"/>
        </w:trPr>
        <w:tc>
          <w:tcPr>
            <w:tcW w:w="2260" w:type="dxa"/>
            <w:gridSpan w:val="2"/>
            <w:vAlign w:val="center"/>
          </w:tcPr>
          <w:p w14:paraId="7F77A8A2">
            <w:pPr>
              <w:pStyle w:val="45"/>
              <w:autoSpaceDE w:val="0"/>
              <w:autoSpaceDN w:val="0"/>
              <w:adjustRightInd w:val="0"/>
              <w:jc w:val="center"/>
              <w:rPr>
                <w:rFonts w:hint="eastAsia"/>
                <w:b/>
                <w:bCs/>
                <w:sz w:val="24"/>
              </w:rPr>
            </w:pPr>
            <w:r>
              <w:rPr>
                <w:rFonts w:hint="eastAsia"/>
                <w:b/>
                <w:bCs/>
                <w:sz w:val="24"/>
              </w:rPr>
              <w:t>比选申请人</w:t>
            </w:r>
          </w:p>
          <w:p w14:paraId="2C8D5174">
            <w:pPr>
              <w:pStyle w:val="45"/>
              <w:autoSpaceDE w:val="0"/>
              <w:autoSpaceDN w:val="0"/>
              <w:adjustRightInd w:val="0"/>
              <w:jc w:val="center"/>
              <w:rPr>
                <w:rFonts w:hint="eastAsia"/>
                <w:b/>
                <w:bCs/>
                <w:sz w:val="24"/>
              </w:rPr>
            </w:pPr>
            <w:r>
              <w:rPr>
                <w:rFonts w:hint="eastAsia"/>
                <w:b/>
                <w:bCs/>
                <w:sz w:val="24"/>
              </w:rPr>
              <w:t>关联企业情况</w:t>
            </w:r>
          </w:p>
        </w:tc>
        <w:tc>
          <w:tcPr>
            <w:tcW w:w="6918" w:type="dxa"/>
            <w:gridSpan w:val="3"/>
            <w:vAlign w:val="center"/>
          </w:tcPr>
          <w:p w14:paraId="447A99B2">
            <w:pPr>
              <w:pStyle w:val="45"/>
              <w:rPr>
                <w:rFonts w:hint="eastAsia"/>
                <w:b/>
                <w:bCs/>
                <w:sz w:val="24"/>
              </w:rPr>
            </w:pPr>
            <w:r>
              <w:rPr>
                <w:rFonts w:hint="eastAsia"/>
                <w:b/>
                <w:bCs/>
                <w:sz w:val="24"/>
              </w:rPr>
              <w:t>比选申请人应提供关联企业情况，包括：</w:t>
            </w:r>
          </w:p>
          <w:p w14:paraId="2E67113D">
            <w:pPr>
              <w:pStyle w:val="45"/>
              <w:ind w:firstLine="9"/>
              <w:rPr>
                <w:rFonts w:hint="eastAsia"/>
                <w:b/>
                <w:bCs/>
                <w:sz w:val="24"/>
              </w:rPr>
            </w:pPr>
            <w:r>
              <w:rPr>
                <w:rFonts w:hint="eastAsia"/>
                <w:b/>
                <w:bCs/>
                <w:sz w:val="24"/>
              </w:rPr>
              <w:t>（1）比选申请人的所有股东名称及相应股权（出资额）比例：如比选申请人为上市公司，比选申请人应提供股权占公司股份总数 50 %以上的所有股东名称及相应股权比例；</w:t>
            </w:r>
          </w:p>
          <w:p w14:paraId="430D2741">
            <w:pPr>
              <w:pStyle w:val="45"/>
              <w:ind w:firstLine="14"/>
              <w:rPr>
                <w:rFonts w:hint="eastAsia"/>
                <w:b/>
                <w:bCs/>
                <w:sz w:val="24"/>
              </w:rPr>
            </w:pPr>
            <w:r>
              <w:rPr>
                <w:rFonts w:hint="eastAsia"/>
                <w:b/>
                <w:bCs/>
                <w:sz w:val="24"/>
              </w:rPr>
              <w:t>（2）比选申请人投资（控股）或管理的下属企业名称 、持有股权（出资额）比例；</w:t>
            </w:r>
          </w:p>
          <w:p w14:paraId="6AA7B723">
            <w:pPr>
              <w:pStyle w:val="45"/>
              <w:rPr>
                <w:rFonts w:hint="eastAsia"/>
                <w:b/>
                <w:bCs/>
                <w:sz w:val="24"/>
              </w:rPr>
            </w:pPr>
            <w:r>
              <w:rPr>
                <w:rFonts w:hint="eastAsia"/>
                <w:b/>
                <w:bCs/>
                <w:sz w:val="24"/>
              </w:rPr>
              <w:t>（3）与比选申请人单位负责人 （即法定代表人） 为同一人的其他单位名称。</w:t>
            </w:r>
          </w:p>
        </w:tc>
      </w:tr>
    </w:tbl>
    <w:p w14:paraId="3B1F6876">
      <w:pPr>
        <w:tabs>
          <w:tab w:val="left" w:pos="360"/>
        </w:tabs>
        <w:rPr>
          <w:rFonts w:ascii="宋体"/>
          <w:szCs w:val="21"/>
        </w:rPr>
      </w:pPr>
    </w:p>
    <w:p w14:paraId="3EF75940">
      <w:pPr>
        <w:spacing w:line="360" w:lineRule="auto"/>
        <w:rPr>
          <w:rFonts w:hint="eastAsia" w:hAnsi="宋体"/>
          <w:b/>
        </w:rPr>
      </w:pPr>
      <w:r>
        <w:rPr>
          <w:rFonts w:hint="eastAsia" w:hAnsi="宋体"/>
          <w:b/>
        </w:rPr>
        <w:t>注：本表后必须附企业有效营业执照副本、基本帐户开户许可证</w:t>
      </w:r>
      <w:r>
        <w:rPr>
          <w:rFonts w:hint="eastAsia"/>
          <w:b/>
          <w:kern w:val="0"/>
          <w:szCs w:val="21"/>
        </w:rPr>
        <w:t>或基本账户存款信息</w:t>
      </w:r>
      <w:r>
        <w:rPr>
          <w:rFonts w:hint="eastAsia" w:hAnsi="宋体"/>
          <w:b/>
        </w:rPr>
        <w:t>等资料影印件（彩色或黑白）并加盖比选申请人单位章。</w:t>
      </w:r>
    </w:p>
    <w:p w14:paraId="3227B2AF">
      <w:pPr>
        <w:pStyle w:val="2"/>
        <w:spacing w:after="0"/>
        <w:ind w:left="0" w:leftChars="0" w:firstLine="0" w:firstLineChars="0"/>
      </w:pPr>
    </w:p>
    <w:p w14:paraId="37FEB386">
      <w:pPr>
        <w:pStyle w:val="2"/>
        <w:spacing w:after="0"/>
        <w:ind w:firstLine="560"/>
      </w:pPr>
    </w:p>
    <w:p w14:paraId="4139EE40">
      <w:pPr>
        <w:pStyle w:val="15"/>
        <w:spacing w:line="360" w:lineRule="auto"/>
        <w:jc w:val="center"/>
        <w:rPr>
          <w:rFonts w:hint="eastAsia" w:hAnsi="宋体"/>
          <w:sz w:val="24"/>
          <w:szCs w:val="24"/>
        </w:rPr>
      </w:pPr>
      <w:r>
        <w:rPr>
          <w:rFonts w:hint="eastAsia" w:hAnsi="宋体"/>
          <w:sz w:val="24"/>
          <w:szCs w:val="24"/>
        </w:rPr>
        <w:t xml:space="preserve">                                  比选申请人：</w:t>
      </w:r>
      <w:r>
        <w:rPr>
          <w:rFonts w:hint="eastAsia" w:hAnsi="宋体"/>
          <w:sz w:val="24"/>
          <w:szCs w:val="24"/>
          <w:u w:val="single"/>
        </w:rPr>
        <w:t>（单位全称）        （盖单位章）</w:t>
      </w:r>
    </w:p>
    <w:p w14:paraId="6675ED88">
      <w:pPr>
        <w:pStyle w:val="15"/>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552663E8">
      <w:pPr>
        <w:pStyle w:val="2"/>
        <w:spacing w:after="0"/>
        <w:ind w:firstLine="480"/>
        <w:jc w:val="right"/>
        <w:rPr>
          <w:rFonts w:hint="eastAsia" w:hAnsi="宋体"/>
          <w:sz w:val="24"/>
          <w:szCs w:val="24"/>
        </w:rPr>
      </w:pPr>
      <w:r>
        <w:rPr>
          <w:rFonts w:hint="eastAsia" w:hAnsi="宋体"/>
          <w:sz w:val="24"/>
          <w:szCs w:val="24"/>
        </w:rPr>
        <w:t>年   月   日</w:t>
      </w:r>
    </w:p>
    <w:p w14:paraId="3CD38B88">
      <w:pPr>
        <w:pStyle w:val="2"/>
        <w:spacing w:after="0"/>
        <w:ind w:firstLine="560"/>
      </w:pPr>
    </w:p>
    <w:p w14:paraId="1A9CA87D">
      <w:pPr>
        <w:pStyle w:val="8"/>
      </w:pPr>
      <w:r>
        <w:rPr>
          <w:rFonts w:hint="eastAsia"/>
        </w:rPr>
        <w:t>4</w:t>
      </w:r>
      <w:r>
        <w:t>-</w:t>
      </w:r>
      <w:r>
        <w:rPr>
          <w:rFonts w:hint="eastAsia"/>
        </w:rPr>
        <w:t>2近年的类似业绩情况表</w:t>
      </w:r>
    </w:p>
    <w:tbl>
      <w:tblPr>
        <w:tblStyle w:val="26"/>
        <w:tblpPr w:leftFromText="180" w:rightFromText="180" w:vertAnchor="text" w:horzAnchor="page" w:tblpX="1467" w:tblpY="120"/>
        <w:tblOverlap w:val="never"/>
        <w:tblW w:w="92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8"/>
        <w:gridCol w:w="2560"/>
        <w:gridCol w:w="1436"/>
        <w:gridCol w:w="1789"/>
        <w:gridCol w:w="1254"/>
        <w:gridCol w:w="1215"/>
      </w:tblGrid>
      <w:tr w14:paraId="5F941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68" w:type="dxa"/>
            <w:vAlign w:val="center"/>
          </w:tcPr>
          <w:p w14:paraId="06F89336">
            <w:pPr>
              <w:pStyle w:val="45"/>
              <w:spacing w:line="240" w:lineRule="atLeast"/>
              <w:ind w:left="95" w:right="90"/>
              <w:jc w:val="center"/>
              <w:rPr>
                <w:rFonts w:hint="eastAsia"/>
                <w:b/>
                <w:bCs/>
                <w:sz w:val="24"/>
              </w:rPr>
            </w:pPr>
            <w:r>
              <w:rPr>
                <w:rFonts w:hint="eastAsia"/>
                <w:b/>
                <w:bCs/>
                <w:sz w:val="24"/>
              </w:rPr>
              <w:t>序号</w:t>
            </w:r>
          </w:p>
        </w:tc>
        <w:tc>
          <w:tcPr>
            <w:tcW w:w="2560" w:type="dxa"/>
            <w:vAlign w:val="center"/>
          </w:tcPr>
          <w:p w14:paraId="09344341">
            <w:pPr>
              <w:pStyle w:val="45"/>
              <w:spacing w:line="240" w:lineRule="atLeast"/>
              <w:jc w:val="center"/>
              <w:rPr>
                <w:rFonts w:hint="eastAsia"/>
                <w:b/>
                <w:bCs/>
                <w:sz w:val="24"/>
              </w:rPr>
            </w:pPr>
            <w:r>
              <w:rPr>
                <w:rFonts w:hint="eastAsia"/>
                <w:b/>
                <w:bCs/>
                <w:sz w:val="24"/>
              </w:rPr>
              <w:t>项目名称</w:t>
            </w:r>
          </w:p>
        </w:tc>
        <w:tc>
          <w:tcPr>
            <w:tcW w:w="1436" w:type="dxa"/>
            <w:vAlign w:val="center"/>
          </w:tcPr>
          <w:p w14:paraId="3504D6C7">
            <w:pPr>
              <w:pStyle w:val="45"/>
              <w:spacing w:line="240" w:lineRule="atLeast"/>
              <w:jc w:val="center"/>
              <w:rPr>
                <w:rFonts w:hint="eastAsia"/>
                <w:b/>
                <w:bCs/>
                <w:sz w:val="24"/>
              </w:rPr>
            </w:pPr>
          </w:p>
          <w:p w14:paraId="15B052AF">
            <w:pPr>
              <w:pStyle w:val="45"/>
              <w:spacing w:line="360" w:lineRule="auto"/>
              <w:jc w:val="center"/>
              <w:rPr>
                <w:rFonts w:hint="eastAsia"/>
                <w:b/>
                <w:bCs/>
                <w:sz w:val="24"/>
              </w:rPr>
            </w:pPr>
            <w:r>
              <w:rPr>
                <w:rFonts w:hint="eastAsia"/>
                <w:b/>
                <w:bCs/>
                <w:sz w:val="24"/>
              </w:rPr>
              <w:t>签订日期</w:t>
            </w:r>
          </w:p>
        </w:tc>
        <w:tc>
          <w:tcPr>
            <w:tcW w:w="1789" w:type="dxa"/>
            <w:vAlign w:val="center"/>
          </w:tcPr>
          <w:p w14:paraId="2860B481">
            <w:pPr>
              <w:pStyle w:val="45"/>
              <w:spacing w:line="240" w:lineRule="atLeast"/>
              <w:jc w:val="center"/>
              <w:rPr>
                <w:rFonts w:hint="eastAsia"/>
                <w:b/>
                <w:bCs/>
                <w:sz w:val="24"/>
              </w:rPr>
            </w:pPr>
            <w:r>
              <w:rPr>
                <w:rFonts w:hint="eastAsia"/>
                <w:b/>
                <w:bCs/>
                <w:sz w:val="24"/>
              </w:rPr>
              <w:t>合同总价</w:t>
            </w:r>
          </w:p>
          <w:p w14:paraId="20F983CB">
            <w:pPr>
              <w:pStyle w:val="45"/>
              <w:spacing w:line="240" w:lineRule="atLeast"/>
              <w:jc w:val="center"/>
              <w:rPr>
                <w:rFonts w:hint="eastAsia"/>
                <w:b/>
                <w:bCs/>
                <w:sz w:val="24"/>
              </w:rPr>
            </w:pPr>
            <w:r>
              <w:rPr>
                <w:rFonts w:hint="eastAsia"/>
                <w:b/>
                <w:bCs/>
                <w:sz w:val="24"/>
              </w:rPr>
              <w:t>（万元）</w:t>
            </w:r>
          </w:p>
        </w:tc>
        <w:tc>
          <w:tcPr>
            <w:tcW w:w="1254" w:type="dxa"/>
            <w:vAlign w:val="center"/>
          </w:tcPr>
          <w:p w14:paraId="1F41CECD">
            <w:pPr>
              <w:pStyle w:val="45"/>
              <w:spacing w:line="240" w:lineRule="atLeast"/>
              <w:jc w:val="center"/>
              <w:rPr>
                <w:rFonts w:hint="eastAsia"/>
                <w:b/>
                <w:bCs/>
                <w:sz w:val="24"/>
              </w:rPr>
            </w:pPr>
            <w:r>
              <w:rPr>
                <w:rFonts w:hint="eastAsia"/>
                <w:b/>
                <w:bCs/>
                <w:sz w:val="24"/>
              </w:rPr>
              <w:t>充电</w:t>
            </w:r>
          </w:p>
          <w:p w14:paraId="3AA74FF6">
            <w:pPr>
              <w:pStyle w:val="45"/>
              <w:spacing w:line="240" w:lineRule="atLeast"/>
              <w:jc w:val="center"/>
              <w:rPr>
                <w:rFonts w:hint="eastAsia"/>
                <w:b/>
                <w:bCs/>
                <w:sz w:val="24"/>
              </w:rPr>
            </w:pPr>
            <w:r>
              <w:rPr>
                <w:rFonts w:hint="eastAsia"/>
                <w:b/>
                <w:bCs/>
                <w:sz w:val="24"/>
              </w:rPr>
              <w:t>设备型号</w:t>
            </w:r>
          </w:p>
        </w:tc>
        <w:tc>
          <w:tcPr>
            <w:tcW w:w="1215" w:type="dxa"/>
            <w:vAlign w:val="center"/>
          </w:tcPr>
          <w:p w14:paraId="3FB360C4">
            <w:pPr>
              <w:pStyle w:val="45"/>
              <w:spacing w:line="240" w:lineRule="atLeast"/>
              <w:ind w:left="183" w:firstLine="241" w:firstLineChars="100"/>
              <w:rPr>
                <w:rFonts w:hint="eastAsia"/>
                <w:b/>
                <w:bCs/>
                <w:sz w:val="24"/>
              </w:rPr>
            </w:pPr>
            <w:r>
              <w:rPr>
                <w:rFonts w:hint="eastAsia"/>
                <w:b/>
                <w:bCs/>
                <w:sz w:val="24"/>
              </w:rPr>
              <w:t>备注</w:t>
            </w:r>
          </w:p>
        </w:tc>
      </w:tr>
      <w:tr w14:paraId="39312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4EFEF343">
            <w:pPr>
              <w:pStyle w:val="45"/>
              <w:spacing w:line="480" w:lineRule="auto"/>
              <w:jc w:val="center"/>
              <w:rPr>
                <w:rFonts w:hint="eastAsia"/>
                <w:b/>
                <w:bCs/>
                <w:sz w:val="24"/>
              </w:rPr>
            </w:pPr>
            <w:r>
              <w:rPr>
                <w:rFonts w:hint="eastAsia"/>
                <w:b/>
                <w:bCs/>
                <w:sz w:val="24"/>
              </w:rPr>
              <w:t>1</w:t>
            </w:r>
          </w:p>
        </w:tc>
        <w:tc>
          <w:tcPr>
            <w:tcW w:w="2560" w:type="dxa"/>
          </w:tcPr>
          <w:p w14:paraId="25C73D17">
            <w:pPr>
              <w:pStyle w:val="45"/>
              <w:spacing w:line="240" w:lineRule="atLeast"/>
              <w:rPr>
                <w:rFonts w:hint="eastAsia"/>
                <w:b/>
                <w:bCs/>
                <w:sz w:val="24"/>
              </w:rPr>
            </w:pPr>
            <w:r>
              <w:rPr>
                <w:rFonts w:hint="eastAsia"/>
                <w:b/>
                <w:bCs/>
                <w:sz w:val="24"/>
              </w:rPr>
              <w:t>（资格审查条件业绩）</w:t>
            </w:r>
          </w:p>
        </w:tc>
        <w:tc>
          <w:tcPr>
            <w:tcW w:w="1436" w:type="dxa"/>
          </w:tcPr>
          <w:p w14:paraId="677F5679">
            <w:pPr>
              <w:pStyle w:val="45"/>
              <w:spacing w:line="240" w:lineRule="atLeast"/>
              <w:ind w:left="-199" w:leftChars="-95" w:firstLine="229" w:firstLineChars="95"/>
              <w:rPr>
                <w:rFonts w:hint="eastAsia"/>
                <w:b/>
                <w:bCs/>
                <w:sz w:val="24"/>
              </w:rPr>
            </w:pPr>
          </w:p>
        </w:tc>
        <w:tc>
          <w:tcPr>
            <w:tcW w:w="1789" w:type="dxa"/>
          </w:tcPr>
          <w:p w14:paraId="1B2545DD">
            <w:pPr>
              <w:pStyle w:val="45"/>
              <w:spacing w:line="240" w:lineRule="atLeast"/>
              <w:rPr>
                <w:rFonts w:hint="eastAsia"/>
                <w:b/>
                <w:bCs/>
                <w:sz w:val="24"/>
              </w:rPr>
            </w:pPr>
          </w:p>
        </w:tc>
        <w:tc>
          <w:tcPr>
            <w:tcW w:w="1254" w:type="dxa"/>
          </w:tcPr>
          <w:p w14:paraId="7FF5E3F5">
            <w:pPr>
              <w:pStyle w:val="45"/>
              <w:spacing w:line="240" w:lineRule="atLeast"/>
              <w:rPr>
                <w:rFonts w:hint="eastAsia"/>
                <w:b/>
                <w:bCs/>
                <w:sz w:val="24"/>
              </w:rPr>
            </w:pPr>
          </w:p>
        </w:tc>
        <w:tc>
          <w:tcPr>
            <w:tcW w:w="1215" w:type="dxa"/>
          </w:tcPr>
          <w:p w14:paraId="17372272">
            <w:pPr>
              <w:pStyle w:val="45"/>
              <w:spacing w:line="240" w:lineRule="atLeast"/>
              <w:rPr>
                <w:rFonts w:hint="eastAsia"/>
                <w:b/>
                <w:bCs/>
                <w:sz w:val="24"/>
              </w:rPr>
            </w:pPr>
          </w:p>
        </w:tc>
      </w:tr>
      <w:tr w14:paraId="374EF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2EA6C465">
            <w:pPr>
              <w:pStyle w:val="45"/>
              <w:spacing w:line="240" w:lineRule="atLeast"/>
              <w:rPr>
                <w:rFonts w:hint="eastAsia"/>
                <w:b/>
                <w:bCs/>
                <w:sz w:val="24"/>
              </w:rPr>
            </w:pPr>
          </w:p>
        </w:tc>
        <w:tc>
          <w:tcPr>
            <w:tcW w:w="2560" w:type="dxa"/>
          </w:tcPr>
          <w:p w14:paraId="4EC92E95">
            <w:pPr>
              <w:pStyle w:val="45"/>
              <w:spacing w:line="240" w:lineRule="atLeast"/>
              <w:rPr>
                <w:rFonts w:hint="eastAsia"/>
                <w:b/>
                <w:bCs/>
                <w:sz w:val="24"/>
              </w:rPr>
            </w:pPr>
          </w:p>
        </w:tc>
        <w:tc>
          <w:tcPr>
            <w:tcW w:w="1436" w:type="dxa"/>
          </w:tcPr>
          <w:p w14:paraId="170CE672">
            <w:pPr>
              <w:pStyle w:val="45"/>
              <w:spacing w:line="240" w:lineRule="atLeast"/>
              <w:rPr>
                <w:rFonts w:hint="eastAsia"/>
                <w:b/>
                <w:bCs/>
                <w:sz w:val="24"/>
              </w:rPr>
            </w:pPr>
          </w:p>
        </w:tc>
        <w:tc>
          <w:tcPr>
            <w:tcW w:w="1789" w:type="dxa"/>
          </w:tcPr>
          <w:p w14:paraId="64F14E7F">
            <w:pPr>
              <w:pStyle w:val="45"/>
              <w:spacing w:line="240" w:lineRule="atLeast"/>
              <w:rPr>
                <w:rFonts w:hint="eastAsia"/>
                <w:b/>
                <w:bCs/>
                <w:sz w:val="24"/>
              </w:rPr>
            </w:pPr>
          </w:p>
        </w:tc>
        <w:tc>
          <w:tcPr>
            <w:tcW w:w="1254" w:type="dxa"/>
          </w:tcPr>
          <w:p w14:paraId="185D48FD">
            <w:pPr>
              <w:pStyle w:val="45"/>
              <w:spacing w:line="240" w:lineRule="atLeast"/>
              <w:rPr>
                <w:rFonts w:hint="eastAsia"/>
                <w:b/>
                <w:bCs/>
                <w:sz w:val="24"/>
              </w:rPr>
            </w:pPr>
          </w:p>
        </w:tc>
        <w:tc>
          <w:tcPr>
            <w:tcW w:w="1215" w:type="dxa"/>
          </w:tcPr>
          <w:p w14:paraId="4DC5C622">
            <w:pPr>
              <w:pStyle w:val="45"/>
              <w:spacing w:line="240" w:lineRule="atLeast"/>
              <w:rPr>
                <w:rFonts w:hint="eastAsia"/>
                <w:b/>
                <w:bCs/>
                <w:sz w:val="24"/>
              </w:rPr>
            </w:pPr>
          </w:p>
        </w:tc>
      </w:tr>
      <w:tr w14:paraId="53451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tcPr>
          <w:p w14:paraId="6B73C182">
            <w:pPr>
              <w:pStyle w:val="45"/>
              <w:spacing w:line="240" w:lineRule="atLeast"/>
              <w:rPr>
                <w:rFonts w:hint="eastAsia"/>
                <w:b/>
                <w:bCs/>
                <w:sz w:val="24"/>
              </w:rPr>
            </w:pPr>
          </w:p>
        </w:tc>
        <w:tc>
          <w:tcPr>
            <w:tcW w:w="2560" w:type="dxa"/>
          </w:tcPr>
          <w:p w14:paraId="52D39090">
            <w:pPr>
              <w:pStyle w:val="45"/>
              <w:spacing w:line="240" w:lineRule="atLeast"/>
              <w:rPr>
                <w:rFonts w:hint="eastAsia"/>
                <w:b/>
                <w:bCs/>
                <w:sz w:val="24"/>
              </w:rPr>
            </w:pPr>
          </w:p>
        </w:tc>
        <w:tc>
          <w:tcPr>
            <w:tcW w:w="1436" w:type="dxa"/>
          </w:tcPr>
          <w:p w14:paraId="195DB35D">
            <w:pPr>
              <w:pStyle w:val="45"/>
              <w:spacing w:line="240" w:lineRule="atLeast"/>
              <w:rPr>
                <w:rFonts w:hint="eastAsia"/>
                <w:b/>
                <w:bCs/>
                <w:sz w:val="24"/>
              </w:rPr>
            </w:pPr>
          </w:p>
        </w:tc>
        <w:tc>
          <w:tcPr>
            <w:tcW w:w="1789" w:type="dxa"/>
          </w:tcPr>
          <w:p w14:paraId="3AB6C277">
            <w:pPr>
              <w:pStyle w:val="45"/>
              <w:spacing w:line="240" w:lineRule="atLeast"/>
              <w:rPr>
                <w:rFonts w:hint="eastAsia"/>
                <w:b/>
                <w:bCs/>
                <w:sz w:val="24"/>
              </w:rPr>
            </w:pPr>
          </w:p>
        </w:tc>
        <w:tc>
          <w:tcPr>
            <w:tcW w:w="1254" w:type="dxa"/>
          </w:tcPr>
          <w:p w14:paraId="104F143E">
            <w:pPr>
              <w:pStyle w:val="45"/>
              <w:spacing w:line="240" w:lineRule="atLeast"/>
              <w:rPr>
                <w:rFonts w:hint="eastAsia"/>
                <w:b/>
                <w:bCs/>
                <w:sz w:val="24"/>
              </w:rPr>
            </w:pPr>
          </w:p>
        </w:tc>
        <w:tc>
          <w:tcPr>
            <w:tcW w:w="1215" w:type="dxa"/>
          </w:tcPr>
          <w:p w14:paraId="44C84D2A">
            <w:pPr>
              <w:pStyle w:val="45"/>
              <w:spacing w:line="240" w:lineRule="atLeast"/>
              <w:rPr>
                <w:rFonts w:hint="eastAsia"/>
                <w:b/>
                <w:bCs/>
                <w:sz w:val="24"/>
              </w:rPr>
            </w:pPr>
          </w:p>
        </w:tc>
      </w:tr>
      <w:tr w14:paraId="36047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1CC60096">
            <w:pPr>
              <w:pStyle w:val="45"/>
              <w:spacing w:line="240" w:lineRule="atLeast"/>
              <w:rPr>
                <w:rFonts w:hint="eastAsia"/>
                <w:b/>
                <w:bCs/>
                <w:sz w:val="24"/>
              </w:rPr>
            </w:pPr>
          </w:p>
        </w:tc>
        <w:tc>
          <w:tcPr>
            <w:tcW w:w="2560" w:type="dxa"/>
          </w:tcPr>
          <w:p w14:paraId="731133CF">
            <w:pPr>
              <w:pStyle w:val="45"/>
              <w:spacing w:line="240" w:lineRule="atLeast"/>
              <w:rPr>
                <w:rFonts w:hint="eastAsia"/>
                <w:b/>
                <w:bCs/>
                <w:sz w:val="24"/>
              </w:rPr>
            </w:pPr>
          </w:p>
        </w:tc>
        <w:tc>
          <w:tcPr>
            <w:tcW w:w="1436" w:type="dxa"/>
          </w:tcPr>
          <w:p w14:paraId="75FD8AAD">
            <w:pPr>
              <w:pStyle w:val="45"/>
              <w:spacing w:line="240" w:lineRule="atLeast"/>
              <w:rPr>
                <w:rFonts w:hint="eastAsia"/>
                <w:b/>
                <w:bCs/>
                <w:sz w:val="24"/>
              </w:rPr>
            </w:pPr>
          </w:p>
        </w:tc>
        <w:tc>
          <w:tcPr>
            <w:tcW w:w="1789" w:type="dxa"/>
          </w:tcPr>
          <w:p w14:paraId="1ABE0011">
            <w:pPr>
              <w:pStyle w:val="45"/>
              <w:spacing w:line="240" w:lineRule="atLeast"/>
              <w:rPr>
                <w:rFonts w:hint="eastAsia"/>
                <w:b/>
                <w:bCs/>
                <w:sz w:val="24"/>
              </w:rPr>
            </w:pPr>
          </w:p>
        </w:tc>
        <w:tc>
          <w:tcPr>
            <w:tcW w:w="1254" w:type="dxa"/>
          </w:tcPr>
          <w:p w14:paraId="06155157">
            <w:pPr>
              <w:pStyle w:val="45"/>
              <w:spacing w:line="240" w:lineRule="atLeast"/>
              <w:rPr>
                <w:rFonts w:hint="eastAsia"/>
                <w:b/>
                <w:bCs/>
                <w:sz w:val="24"/>
              </w:rPr>
            </w:pPr>
          </w:p>
        </w:tc>
        <w:tc>
          <w:tcPr>
            <w:tcW w:w="1215" w:type="dxa"/>
          </w:tcPr>
          <w:p w14:paraId="7ADE1CD1">
            <w:pPr>
              <w:pStyle w:val="45"/>
              <w:spacing w:line="240" w:lineRule="atLeast"/>
              <w:rPr>
                <w:rFonts w:hint="eastAsia"/>
                <w:b/>
                <w:bCs/>
                <w:sz w:val="24"/>
              </w:rPr>
            </w:pPr>
          </w:p>
        </w:tc>
      </w:tr>
      <w:tr w14:paraId="52F8A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6350E1CA">
            <w:pPr>
              <w:pStyle w:val="45"/>
              <w:spacing w:line="240" w:lineRule="atLeast"/>
              <w:rPr>
                <w:rFonts w:hint="eastAsia"/>
                <w:b/>
                <w:bCs/>
                <w:sz w:val="24"/>
              </w:rPr>
            </w:pPr>
          </w:p>
        </w:tc>
        <w:tc>
          <w:tcPr>
            <w:tcW w:w="2560" w:type="dxa"/>
          </w:tcPr>
          <w:p w14:paraId="30F2E1FE">
            <w:pPr>
              <w:pStyle w:val="45"/>
              <w:spacing w:line="240" w:lineRule="atLeast"/>
              <w:rPr>
                <w:rFonts w:hint="eastAsia"/>
                <w:b/>
                <w:bCs/>
                <w:sz w:val="24"/>
              </w:rPr>
            </w:pPr>
          </w:p>
        </w:tc>
        <w:tc>
          <w:tcPr>
            <w:tcW w:w="1436" w:type="dxa"/>
          </w:tcPr>
          <w:p w14:paraId="70D49E6B">
            <w:pPr>
              <w:pStyle w:val="45"/>
              <w:spacing w:line="240" w:lineRule="atLeast"/>
              <w:rPr>
                <w:rFonts w:hint="eastAsia"/>
                <w:b/>
                <w:bCs/>
                <w:sz w:val="24"/>
              </w:rPr>
            </w:pPr>
          </w:p>
        </w:tc>
        <w:tc>
          <w:tcPr>
            <w:tcW w:w="1789" w:type="dxa"/>
          </w:tcPr>
          <w:p w14:paraId="27CE6436">
            <w:pPr>
              <w:pStyle w:val="45"/>
              <w:spacing w:line="240" w:lineRule="atLeast"/>
              <w:rPr>
                <w:rFonts w:hint="eastAsia"/>
                <w:b/>
                <w:bCs/>
                <w:sz w:val="24"/>
              </w:rPr>
            </w:pPr>
          </w:p>
        </w:tc>
        <w:tc>
          <w:tcPr>
            <w:tcW w:w="1254" w:type="dxa"/>
          </w:tcPr>
          <w:p w14:paraId="33E7307A">
            <w:pPr>
              <w:pStyle w:val="45"/>
              <w:spacing w:line="240" w:lineRule="atLeast"/>
              <w:rPr>
                <w:rFonts w:hint="eastAsia"/>
                <w:b/>
                <w:bCs/>
                <w:sz w:val="24"/>
              </w:rPr>
            </w:pPr>
          </w:p>
        </w:tc>
        <w:tc>
          <w:tcPr>
            <w:tcW w:w="1215" w:type="dxa"/>
          </w:tcPr>
          <w:p w14:paraId="473B8F63">
            <w:pPr>
              <w:pStyle w:val="45"/>
              <w:spacing w:line="240" w:lineRule="atLeast"/>
              <w:rPr>
                <w:rFonts w:hint="eastAsia"/>
                <w:b/>
                <w:bCs/>
                <w:sz w:val="24"/>
              </w:rPr>
            </w:pPr>
          </w:p>
        </w:tc>
      </w:tr>
      <w:tr w14:paraId="2DEE7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tcPr>
          <w:p w14:paraId="27EC461D">
            <w:pPr>
              <w:pStyle w:val="45"/>
              <w:spacing w:line="240" w:lineRule="atLeast"/>
              <w:rPr>
                <w:rFonts w:hint="eastAsia"/>
                <w:b/>
                <w:bCs/>
                <w:sz w:val="24"/>
              </w:rPr>
            </w:pPr>
          </w:p>
        </w:tc>
        <w:tc>
          <w:tcPr>
            <w:tcW w:w="2560" w:type="dxa"/>
          </w:tcPr>
          <w:p w14:paraId="2E4A86E6">
            <w:pPr>
              <w:pStyle w:val="45"/>
              <w:spacing w:line="240" w:lineRule="atLeast"/>
              <w:rPr>
                <w:rFonts w:hint="eastAsia"/>
                <w:b/>
                <w:bCs/>
                <w:sz w:val="24"/>
              </w:rPr>
            </w:pPr>
          </w:p>
        </w:tc>
        <w:tc>
          <w:tcPr>
            <w:tcW w:w="1436" w:type="dxa"/>
          </w:tcPr>
          <w:p w14:paraId="7C260084">
            <w:pPr>
              <w:pStyle w:val="45"/>
              <w:spacing w:line="240" w:lineRule="atLeast"/>
              <w:rPr>
                <w:rFonts w:hint="eastAsia"/>
                <w:b/>
                <w:bCs/>
                <w:sz w:val="24"/>
              </w:rPr>
            </w:pPr>
          </w:p>
        </w:tc>
        <w:tc>
          <w:tcPr>
            <w:tcW w:w="1789" w:type="dxa"/>
          </w:tcPr>
          <w:p w14:paraId="58EEB56C">
            <w:pPr>
              <w:pStyle w:val="45"/>
              <w:spacing w:line="240" w:lineRule="atLeast"/>
              <w:rPr>
                <w:rFonts w:hint="eastAsia"/>
                <w:b/>
                <w:bCs/>
                <w:sz w:val="24"/>
              </w:rPr>
            </w:pPr>
          </w:p>
        </w:tc>
        <w:tc>
          <w:tcPr>
            <w:tcW w:w="1254" w:type="dxa"/>
          </w:tcPr>
          <w:p w14:paraId="58B2D89C">
            <w:pPr>
              <w:pStyle w:val="45"/>
              <w:spacing w:line="240" w:lineRule="atLeast"/>
              <w:rPr>
                <w:rFonts w:hint="eastAsia"/>
                <w:b/>
                <w:bCs/>
                <w:sz w:val="24"/>
              </w:rPr>
            </w:pPr>
          </w:p>
        </w:tc>
        <w:tc>
          <w:tcPr>
            <w:tcW w:w="1215" w:type="dxa"/>
          </w:tcPr>
          <w:p w14:paraId="602CB37C">
            <w:pPr>
              <w:pStyle w:val="45"/>
              <w:spacing w:line="240" w:lineRule="atLeast"/>
              <w:rPr>
                <w:rFonts w:hint="eastAsia"/>
                <w:b/>
                <w:bCs/>
                <w:sz w:val="24"/>
              </w:rPr>
            </w:pPr>
          </w:p>
        </w:tc>
      </w:tr>
    </w:tbl>
    <w:p w14:paraId="3107CD4F">
      <w:pPr>
        <w:pStyle w:val="16"/>
        <w:tabs>
          <w:tab w:val="left" w:pos="735"/>
        </w:tabs>
        <w:spacing w:after="0" w:line="240" w:lineRule="auto"/>
        <w:ind w:left="0" w:leftChars="0" w:firstLine="413" w:firstLineChars="196"/>
        <w:rPr>
          <w:rFonts w:ascii="宋体"/>
          <w:b/>
          <w:szCs w:val="21"/>
        </w:rPr>
      </w:pPr>
    </w:p>
    <w:p w14:paraId="135C22CC">
      <w:pPr>
        <w:pStyle w:val="16"/>
        <w:tabs>
          <w:tab w:val="left" w:pos="735"/>
        </w:tabs>
        <w:spacing w:after="0" w:line="240" w:lineRule="auto"/>
        <w:ind w:left="0" w:leftChars="0" w:firstLine="413" w:firstLineChars="196"/>
        <w:rPr>
          <w:rFonts w:ascii="宋体"/>
          <w:b/>
          <w:szCs w:val="21"/>
        </w:rPr>
      </w:pPr>
    </w:p>
    <w:p w14:paraId="50AFB071">
      <w:pPr>
        <w:rPr>
          <w:b/>
        </w:rPr>
      </w:pPr>
      <w:r>
        <w:rPr>
          <w:rFonts w:hint="eastAsia"/>
          <w:bCs/>
        </w:rPr>
        <w:t>注：</w:t>
      </w:r>
      <w:r>
        <w:rPr>
          <w:bCs/>
        </w:rPr>
        <w:t>1.</w:t>
      </w:r>
      <w:r>
        <w:rPr>
          <w:rFonts w:hint="eastAsia"/>
          <w:bCs/>
        </w:rPr>
        <w:t>业绩要求是</w:t>
      </w:r>
      <w:r>
        <w:rPr>
          <w:rFonts w:hint="eastAsia"/>
        </w:rPr>
        <w:t>自</w:t>
      </w:r>
      <w:r>
        <w:rPr>
          <w:rFonts w:hint="eastAsia" w:cs="宋体"/>
        </w:rPr>
        <w:t>202</w:t>
      </w:r>
      <w:r>
        <w:rPr>
          <w:rFonts w:hint="eastAsia" w:cs="宋体"/>
          <w:lang w:val="en-US" w:eastAsia="zh-CN"/>
        </w:rPr>
        <w:t>2</w:t>
      </w:r>
      <w:r>
        <w:rPr>
          <w:rFonts w:hint="eastAsia" w:cs="宋体"/>
        </w:rPr>
        <w:t>年1月1日起</w:t>
      </w:r>
      <w:r>
        <w:rPr>
          <w:rFonts w:hint="eastAsia" w:hAnsi="宋体" w:cs="Courier New"/>
          <w:lang w:val="en-US" w:eastAsia="zh-CN"/>
        </w:rPr>
        <w:t>至今</w:t>
      </w:r>
      <w:r>
        <w:rPr>
          <w:rFonts w:hint="eastAsia"/>
        </w:rPr>
        <w:t>（以合同签订时间为准）的</w:t>
      </w:r>
      <w:r>
        <w:rPr>
          <w:rFonts w:hint="eastAsia" w:cs="宋体"/>
        </w:rPr>
        <w:t>类似业绩。</w:t>
      </w:r>
    </w:p>
    <w:p w14:paraId="7F10D210">
      <w:pPr>
        <w:ind w:firstLine="420" w:firstLineChars="200"/>
        <w:rPr>
          <w:bCs/>
        </w:rPr>
      </w:pPr>
      <w:bookmarkStart w:id="61" w:name="OLE_LINK7"/>
      <w:bookmarkStart w:id="62" w:name="OLE_LINK6"/>
      <w:r>
        <w:rPr>
          <w:rFonts w:hint="eastAsia" w:cs="宋体"/>
        </w:rPr>
        <w:t>2.比选申请人</w:t>
      </w:r>
      <w:r>
        <w:rPr>
          <w:rFonts w:hint="eastAsia"/>
          <w:kern w:val="0"/>
          <w:szCs w:val="21"/>
        </w:rPr>
        <w:t>须附合同协议书证明，合同协议书能清楚反映业绩的采购内容、合同总金额、签订时间等</w:t>
      </w:r>
      <w:bookmarkEnd w:id="61"/>
      <w:bookmarkEnd w:id="62"/>
      <w:r>
        <w:rPr>
          <w:rFonts w:hint="eastAsia" w:cs="宋体"/>
        </w:rPr>
        <w:t>，若证明材</w:t>
      </w:r>
      <w:r>
        <w:rPr>
          <w:rFonts w:hint="eastAsia"/>
          <w:bCs/>
        </w:rPr>
        <w:t>料不能清晰反映，则该业绩不予认定。</w:t>
      </w:r>
    </w:p>
    <w:p w14:paraId="4357A90C">
      <w:pPr>
        <w:ind w:firstLine="422" w:firstLineChars="200"/>
        <w:rPr>
          <w:rFonts w:hint="eastAsia"/>
          <w:b/>
        </w:rPr>
      </w:pPr>
      <w:r>
        <w:rPr>
          <w:rFonts w:hint="eastAsia"/>
          <w:b/>
        </w:rPr>
        <w:t>3.序号1的类似业绩作为资格审查条件的类似业绩。</w:t>
      </w:r>
    </w:p>
    <w:p w14:paraId="14FD074E">
      <w:pPr>
        <w:tabs>
          <w:tab w:val="left" w:pos="360"/>
        </w:tabs>
        <w:jc w:val="both"/>
        <w:rPr>
          <w:rFonts w:ascii="宋体"/>
          <w:b/>
          <w:sz w:val="28"/>
          <w:szCs w:val="28"/>
        </w:rPr>
      </w:pPr>
    </w:p>
    <w:p w14:paraId="4A0DFBED">
      <w:pPr>
        <w:pStyle w:val="2"/>
        <w:spacing w:after="0"/>
        <w:ind w:firstLine="560"/>
      </w:pPr>
    </w:p>
    <w:p w14:paraId="15867C9B">
      <w:pPr>
        <w:pStyle w:val="15"/>
        <w:spacing w:line="360" w:lineRule="auto"/>
        <w:jc w:val="center"/>
        <w:rPr>
          <w:rFonts w:hint="eastAsia" w:hAnsi="宋体"/>
          <w:sz w:val="24"/>
          <w:szCs w:val="24"/>
        </w:rPr>
      </w:pPr>
      <w:r>
        <w:rPr>
          <w:rFonts w:hint="eastAsia" w:hAnsi="宋体"/>
          <w:sz w:val="24"/>
          <w:szCs w:val="24"/>
        </w:rPr>
        <w:t xml:space="preserve">                                  比选申请人：</w:t>
      </w:r>
      <w:r>
        <w:rPr>
          <w:rFonts w:hint="eastAsia" w:hAnsi="宋体"/>
          <w:sz w:val="24"/>
          <w:szCs w:val="24"/>
          <w:u w:val="single"/>
        </w:rPr>
        <w:t xml:space="preserve">  （单位全称）      （盖单位章）</w:t>
      </w:r>
    </w:p>
    <w:p w14:paraId="6367010D">
      <w:pPr>
        <w:pStyle w:val="15"/>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01A03927">
      <w:pPr>
        <w:pStyle w:val="15"/>
        <w:spacing w:line="360" w:lineRule="auto"/>
        <w:jc w:val="right"/>
      </w:pPr>
      <w:r>
        <w:rPr>
          <w:rFonts w:hint="eastAsia" w:hAnsi="宋体"/>
          <w:sz w:val="24"/>
          <w:szCs w:val="24"/>
        </w:rPr>
        <w:t>年    月    日</w:t>
      </w:r>
    </w:p>
    <w:p w14:paraId="7ABD3015">
      <w:pPr>
        <w:pStyle w:val="7"/>
      </w:pPr>
      <w:r>
        <w:rPr>
          <w:rFonts w:hint="eastAsia"/>
        </w:rPr>
        <w:t>五、其他资料</w:t>
      </w:r>
    </w:p>
    <w:p w14:paraId="46EA8832">
      <w:pPr>
        <w:pStyle w:val="2"/>
        <w:spacing w:line="240" w:lineRule="auto"/>
        <w:ind w:left="0" w:leftChars="0" w:firstLine="0" w:firstLineChars="0"/>
        <w:rPr>
          <w:rFonts w:hint="eastAsia" w:hAnsi="宋体"/>
          <w:bCs/>
          <w:kern w:val="2"/>
          <w:sz w:val="21"/>
          <w:szCs w:val="21"/>
        </w:rPr>
      </w:pPr>
      <w:r>
        <w:rPr>
          <w:rFonts w:hint="eastAsia" w:hAnsi="宋体"/>
          <w:bCs/>
          <w:kern w:val="2"/>
          <w:sz w:val="21"/>
          <w:szCs w:val="21"/>
        </w:rPr>
        <w:t>1、“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2E77C134">
      <w:pPr>
        <w:pStyle w:val="2"/>
        <w:spacing w:line="240" w:lineRule="auto"/>
        <w:ind w:left="0" w:leftChars="0" w:firstLine="0" w:firstLineChars="0"/>
        <w:rPr>
          <w:rFonts w:hint="eastAsia" w:hAnsi="宋体"/>
          <w:bCs/>
          <w:kern w:val="2"/>
          <w:sz w:val="21"/>
          <w:szCs w:val="21"/>
        </w:rPr>
      </w:pPr>
      <w:r>
        <w:rPr>
          <w:rFonts w:hint="eastAsia" w:hAnsi="宋体"/>
          <w:bCs/>
          <w:kern w:val="2"/>
          <w:sz w:val="21"/>
          <w:szCs w:val="21"/>
        </w:rPr>
        <w:t>截图示例：</w:t>
      </w:r>
    </w:p>
    <w:p w14:paraId="433BB5F7">
      <w:pPr>
        <w:pStyle w:val="2"/>
        <w:ind w:left="0" w:leftChars="0" w:firstLine="0" w:firstLineChars="0"/>
        <w:rPr>
          <w:rFonts w:ascii="Times New Roman" w:eastAsiaTheme="minorEastAsia"/>
          <w:kern w:val="2"/>
          <w:sz w:val="21"/>
          <w:szCs w:val="21"/>
        </w:rPr>
      </w:pPr>
      <w:r>
        <w:rPr>
          <w:rFonts w:ascii="Times New Roman" w:eastAsiaTheme="minorEastAsia"/>
          <w:kern w:val="2"/>
          <w:sz w:val="21"/>
          <w:szCs w:val="21"/>
        </w:rPr>
        <w:drawing>
          <wp:inline distT="0" distB="0" distL="114300" distR="114300">
            <wp:extent cx="5388610" cy="2623820"/>
            <wp:effectExtent l="0" t="0" r="0" b="0"/>
            <wp:docPr id="8" name="图片 8" descr="C:/Users/杨鑫/Desktop/微信截图_20240720164444.png微信截图_2024072016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杨鑫/Desktop/微信截图_20240720164444.png微信截图_20240720164444"/>
                    <pic:cNvPicPr>
                      <a:picLocks noChangeAspect="1"/>
                    </pic:cNvPicPr>
                  </pic:nvPicPr>
                  <pic:blipFill>
                    <a:blip r:embed="rId17"/>
                    <a:srcRect t="-187" r="-426" b="290"/>
                    <a:stretch>
                      <a:fillRect/>
                    </a:stretch>
                  </pic:blipFill>
                  <pic:spPr>
                    <a:xfrm>
                      <a:off x="0" y="0"/>
                      <a:ext cx="5388610" cy="2623820"/>
                    </a:xfrm>
                    <a:prstGeom prst="rect">
                      <a:avLst/>
                    </a:prstGeom>
                  </pic:spPr>
                </pic:pic>
              </a:graphicData>
            </a:graphic>
          </wp:inline>
        </w:drawing>
      </w:r>
    </w:p>
    <w:p w14:paraId="64C0A8E8">
      <w:pPr>
        <w:pStyle w:val="2"/>
        <w:numPr>
          <w:ilvl w:val="255"/>
          <w:numId w:val="0"/>
        </w:numPr>
        <w:spacing w:line="240" w:lineRule="auto"/>
        <w:rPr>
          <w:rFonts w:hint="eastAsia" w:hAnsi="宋体"/>
          <w:bCs/>
          <w:kern w:val="2"/>
          <w:sz w:val="21"/>
          <w:szCs w:val="21"/>
        </w:rPr>
      </w:pPr>
      <w:r>
        <w:rPr>
          <w:rFonts w:hint="eastAsia" w:hAnsi="宋体"/>
          <w:bCs/>
          <w:kern w:val="2"/>
          <w:sz w:val="21"/>
          <w:szCs w:val="21"/>
        </w:rPr>
        <w:t>2、国家企业信用信息公示系统比选申请人（单位）查询结果页截图证明，并加盖比选申请人单位章。</w:t>
      </w:r>
    </w:p>
    <w:p w14:paraId="4E1CC6DD">
      <w:pPr>
        <w:pStyle w:val="2"/>
        <w:numPr>
          <w:ilvl w:val="255"/>
          <w:numId w:val="0"/>
        </w:numPr>
        <w:spacing w:line="240" w:lineRule="auto"/>
        <w:rPr>
          <w:rFonts w:hint="eastAsia" w:hAnsi="宋体"/>
          <w:bCs/>
          <w:kern w:val="2"/>
          <w:sz w:val="21"/>
          <w:szCs w:val="21"/>
        </w:rPr>
      </w:pPr>
      <w:r>
        <w:rPr>
          <w:rFonts w:hint="eastAsia" w:hAnsi="宋体"/>
          <w:bCs/>
          <w:kern w:val="2"/>
          <w:sz w:val="21"/>
          <w:szCs w:val="21"/>
        </w:rPr>
        <w:t>截图示例：</w:t>
      </w:r>
    </w:p>
    <w:p w14:paraId="4105EC6B">
      <w:pPr>
        <w:pStyle w:val="2"/>
        <w:ind w:left="0" w:leftChars="0" w:firstLine="0" w:firstLineChars="0"/>
      </w:pPr>
      <w:r>
        <w:drawing>
          <wp:inline distT="0" distB="0" distL="114300" distR="114300">
            <wp:extent cx="5479415" cy="2459990"/>
            <wp:effectExtent l="0" t="0" r="6985" b="16510"/>
            <wp:docPr id="3" name="图片 3" descr="16804942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0494219492"/>
                    <pic:cNvPicPr>
                      <a:picLocks noChangeAspect="1"/>
                    </pic:cNvPicPr>
                  </pic:nvPicPr>
                  <pic:blipFill>
                    <a:blip r:embed="rId18"/>
                    <a:stretch>
                      <a:fillRect/>
                    </a:stretch>
                  </pic:blipFill>
                  <pic:spPr>
                    <a:xfrm>
                      <a:off x="0" y="0"/>
                      <a:ext cx="5479415" cy="2459990"/>
                    </a:xfrm>
                    <a:prstGeom prst="rect">
                      <a:avLst/>
                    </a:prstGeom>
                  </pic:spPr>
                </pic:pic>
              </a:graphicData>
            </a:graphic>
          </wp:inline>
        </w:drawing>
      </w:r>
    </w:p>
    <w:p w14:paraId="3F569AD1">
      <w:pPr>
        <w:pStyle w:val="2"/>
        <w:ind w:left="0" w:leftChars="0" w:firstLine="0" w:firstLineChars="0"/>
        <w:rPr>
          <w:rFonts w:hint="eastAsia" w:hAnsi="宋体"/>
          <w:bCs/>
          <w:kern w:val="2"/>
          <w:sz w:val="21"/>
          <w:szCs w:val="21"/>
        </w:rPr>
      </w:pPr>
      <w:r>
        <w:rPr>
          <w:rFonts w:hint="eastAsia" w:hAnsi="宋体"/>
          <w:bCs/>
          <w:kern w:val="2"/>
          <w:sz w:val="21"/>
          <w:szCs w:val="21"/>
        </w:rPr>
        <w:t>3、比选申请人认为有必要提供的其他资料，并加盖比选申请人单位章。</w:t>
      </w:r>
    </w:p>
    <w:p w14:paraId="787E0B41">
      <w:pPr>
        <w:spacing w:line="360" w:lineRule="auto"/>
        <w:rPr>
          <w:rFonts w:hint="eastAsia" w:ascii="宋体" w:hAnsi="宋体"/>
          <w:b/>
          <w:bCs/>
          <w:kern w:val="0"/>
          <w:sz w:val="28"/>
          <w:szCs w:val="28"/>
        </w:rPr>
      </w:pPr>
    </w:p>
    <w:p w14:paraId="68807686">
      <w:pPr>
        <w:pStyle w:val="7"/>
        <w:spacing w:line="440" w:lineRule="exact"/>
        <w:ind w:firstLine="643" w:firstLineChars="200"/>
        <w:rPr>
          <w:rFonts w:hint="eastAsia" w:ascii="宋体" w:hAnsi="宋体" w:cs="宋体"/>
          <w:sz w:val="24"/>
        </w:rPr>
      </w:pPr>
      <w:r>
        <w:rPr>
          <w:rFonts w:hint="eastAsia"/>
        </w:rPr>
        <w:t>三、技术方案</w:t>
      </w:r>
    </w:p>
    <w:p w14:paraId="62D39AA5">
      <w:pPr>
        <w:spacing w:line="360" w:lineRule="auto"/>
        <w:ind w:firstLine="420"/>
        <w:rPr>
          <w:rFonts w:hint="eastAsia" w:ascii="宋体" w:hAnsi="宋体"/>
          <w:sz w:val="24"/>
        </w:rPr>
      </w:pPr>
      <w:r>
        <w:rPr>
          <w:rFonts w:hint="eastAsia" w:ascii="宋体" w:hAnsi="宋体"/>
          <w:sz w:val="24"/>
        </w:rPr>
        <w:t>比选申请人根据第三章评标办法具体要求编制技术方案，其内容包括但不限于：</w:t>
      </w:r>
    </w:p>
    <w:p w14:paraId="096D5D4D">
      <w:pPr>
        <w:spacing w:line="360" w:lineRule="auto"/>
        <w:ind w:firstLine="420"/>
        <w:rPr>
          <w:rFonts w:hint="eastAsia" w:ascii="宋体" w:hAnsi="宋体"/>
          <w:sz w:val="24"/>
        </w:rPr>
      </w:pPr>
      <w:r>
        <w:rPr>
          <w:rFonts w:hint="eastAsia" w:ascii="宋体" w:hAnsi="宋体"/>
          <w:sz w:val="24"/>
        </w:rPr>
        <w:t>1.供货与调试方案</w:t>
      </w:r>
    </w:p>
    <w:p w14:paraId="26CAFF3B">
      <w:pPr>
        <w:spacing w:line="360" w:lineRule="auto"/>
        <w:ind w:firstLine="420"/>
        <w:rPr>
          <w:rFonts w:hint="eastAsia" w:ascii="宋体" w:hAnsi="宋体"/>
          <w:sz w:val="24"/>
        </w:rPr>
      </w:pPr>
      <w:r>
        <w:rPr>
          <w:rFonts w:hint="eastAsia" w:ascii="宋体" w:hAnsi="宋体"/>
          <w:sz w:val="24"/>
        </w:rPr>
        <w:t>2.售后服务方案</w:t>
      </w:r>
    </w:p>
    <w:p w14:paraId="3F27D7C6">
      <w:pPr>
        <w:ind w:firstLine="420"/>
        <w:rPr>
          <w:rFonts w:hint="eastAsia" w:hAnsi="宋体"/>
          <w:sz w:val="24"/>
        </w:rPr>
      </w:pPr>
      <w:r>
        <w:rPr>
          <w:rFonts w:hint="eastAsia" w:ascii="宋体" w:hAnsi="宋体"/>
          <w:sz w:val="24"/>
        </w:rPr>
        <w:t>3.安全管理方案</w:t>
      </w:r>
    </w:p>
    <w:p w14:paraId="589D6DEC">
      <w:pPr>
        <w:rPr>
          <w:rFonts w:hint="eastAsia" w:ascii="宋体" w:hAnsi="宋体"/>
          <w:sz w:val="24"/>
        </w:rPr>
      </w:pPr>
    </w:p>
    <w:p w14:paraId="02BAA361">
      <w:pPr>
        <w:pStyle w:val="2"/>
        <w:ind w:firstLine="480"/>
        <w:rPr>
          <w:rFonts w:hint="eastAsia" w:hAnsi="宋体"/>
          <w:sz w:val="24"/>
        </w:rPr>
      </w:pPr>
    </w:p>
    <w:p w14:paraId="4FCE8C45">
      <w:pPr>
        <w:rPr>
          <w:rFonts w:hint="eastAsia" w:ascii="宋体" w:hAnsi="宋体"/>
          <w:sz w:val="24"/>
        </w:rPr>
      </w:pPr>
    </w:p>
    <w:p w14:paraId="23630687">
      <w:pPr>
        <w:pStyle w:val="2"/>
        <w:ind w:firstLine="480"/>
        <w:rPr>
          <w:rFonts w:hint="eastAsia" w:hAnsi="宋体"/>
          <w:sz w:val="24"/>
        </w:rPr>
      </w:pPr>
    </w:p>
    <w:p w14:paraId="6AD80804">
      <w:pPr>
        <w:rPr>
          <w:rFonts w:hint="eastAsia" w:ascii="宋体" w:hAnsi="宋体"/>
          <w:sz w:val="24"/>
        </w:rPr>
      </w:pPr>
    </w:p>
    <w:p w14:paraId="34B86660">
      <w:pPr>
        <w:pStyle w:val="2"/>
        <w:ind w:firstLine="480"/>
        <w:rPr>
          <w:rFonts w:hint="eastAsia" w:hAnsi="宋体"/>
          <w:sz w:val="24"/>
        </w:rPr>
      </w:pPr>
    </w:p>
    <w:p w14:paraId="69048028">
      <w:pPr>
        <w:rPr>
          <w:rFonts w:hint="eastAsia" w:ascii="宋体" w:hAnsi="宋体"/>
          <w:sz w:val="24"/>
        </w:rPr>
      </w:pPr>
    </w:p>
    <w:p w14:paraId="15594488">
      <w:pPr>
        <w:pStyle w:val="2"/>
        <w:ind w:firstLine="480"/>
        <w:rPr>
          <w:rFonts w:hint="eastAsia" w:hAnsi="宋体"/>
          <w:sz w:val="24"/>
        </w:rPr>
      </w:pPr>
    </w:p>
    <w:p w14:paraId="7AD3C2C0">
      <w:pPr>
        <w:rPr>
          <w:rFonts w:hint="eastAsia" w:ascii="宋体" w:hAnsi="宋体"/>
          <w:sz w:val="24"/>
        </w:rPr>
      </w:pPr>
    </w:p>
    <w:p w14:paraId="66E74DDA">
      <w:pPr>
        <w:pStyle w:val="2"/>
        <w:ind w:firstLine="480"/>
        <w:rPr>
          <w:rFonts w:hint="eastAsia" w:hAnsi="宋体"/>
          <w:sz w:val="24"/>
        </w:rPr>
      </w:pPr>
    </w:p>
    <w:p w14:paraId="356AADA4">
      <w:pPr>
        <w:rPr>
          <w:rFonts w:hint="eastAsia" w:ascii="宋体" w:hAnsi="宋体"/>
          <w:sz w:val="24"/>
        </w:rPr>
      </w:pPr>
    </w:p>
    <w:p w14:paraId="6082D161">
      <w:pPr>
        <w:pStyle w:val="2"/>
        <w:ind w:firstLine="480"/>
        <w:rPr>
          <w:rFonts w:hint="eastAsia" w:hAnsi="宋体"/>
          <w:sz w:val="24"/>
        </w:rPr>
      </w:pPr>
    </w:p>
    <w:p w14:paraId="6986C101">
      <w:pPr>
        <w:rPr>
          <w:rFonts w:hint="eastAsia" w:ascii="宋体" w:hAnsi="宋体"/>
          <w:sz w:val="24"/>
        </w:rPr>
      </w:pPr>
    </w:p>
    <w:p w14:paraId="6EE3BD05">
      <w:pPr>
        <w:pStyle w:val="2"/>
        <w:ind w:firstLine="480"/>
        <w:rPr>
          <w:rFonts w:hint="eastAsia" w:hAnsi="宋体"/>
          <w:sz w:val="24"/>
        </w:rPr>
      </w:pPr>
    </w:p>
    <w:p w14:paraId="06503A15">
      <w:pPr>
        <w:rPr>
          <w:rFonts w:hint="eastAsia" w:ascii="宋体" w:hAnsi="宋体"/>
          <w:sz w:val="24"/>
        </w:rPr>
      </w:pPr>
    </w:p>
    <w:p w14:paraId="59CE0D0F">
      <w:pPr>
        <w:pStyle w:val="2"/>
        <w:ind w:firstLine="480"/>
        <w:rPr>
          <w:rFonts w:hint="eastAsia" w:hAnsi="宋体"/>
          <w:sz w:val="24"/>
        </w:rPr>
      </w:pPr>
    </w:p>
    <w:p w14:paraId="7907F3FF">
      <w:pPr>
        <w:rPr>
          <w:rFonts w:hint="eastAsia" w:ascii="宋体" w:hAnsi="宋体"/>
          <w:sz w:val="24"/>
        </w:rPr>
      </w:pPr>
    </w:p>
    <w:p w14:paraId="2BAEFCA0">
      <w:pPr>
        <w:pStyle w:val="2"/>
        <w:ind w:firstLine="480"/>
        <w:rPr>
          <w:rFonts w:hint="eastAsia" w:hAnsi="宋体"/>
          <w:sz w:val="24"/>
        </w:rPr>
      </w:pPr>
    </w:p>
    <w:p w14:paraId="29DF7567">
      <w:pPr>
        <w:rPr>
          <w:rFonts w:hint="eastAsia" w:ascii="宋体" w:hAnsi="宋体"/>
          <w:sz w:val="24"/>
        </w:rPr>
      </w:pPr>
    </w:p>
    <w:p w14:paraId="0FC44400">
      <w:pPr>
        <w:pStyle w:val="2"/>
        <w:ind w:firstLine="560"/>
      </w:pPr>
    </w:p>
    <w:p w14:paraId="640F9E07"/>
    <w:p w14:paraId="1682B9D2">
      <w:pPr>
        <w:pStyle w:val="8"/>
      </w:pPr>
      <w:r>
        <w:rPr>
          <w:rFonts w:hint="eastAsia"/>
        </w:rPr>
        <w:t>5-2承诺函</w:t>
      </w:r>
    </w:p>
    <w:p w14:paraId="301F74D9">
      <w:pPr>
        <w:pStyle w:val="14"/>
        <w:spacing w:after="0" w:line="360" w:lineRule="auto"/>
        <w:rPr>
          <w:sz w:val="24"/>
        </w:rPr>
      </w:pPr>
    </w:p>
    <w:p w14:paraId="41D26E37">
      <w:pPr>
        <w:pStyle w:val="14"/>
        <w:spacing w:after="0" w:line="360" w:lineRule="auto"/>
        <w:rPr>
          <w:sz w:val="24"/>
        </w:rPr>
      </w:pPr>
      <w:r>
        <w:rPr>
          <w:rFonts w:hint="eastAsia"/>
          <w:sz w:val="24"/>
        </w:rPr>
        <w:t>（比选人名称）：</w:t>
      </w:r>
    </w:p>
    <w:p w14:paraId="40DB1576">
      <w:pPr>
        <w:pStyle w:val="44"/>
        <w:spacing w:line="360" w:lineRule="auto"/>
        <w:ind w:firstLine="480" w:firstLineChars="200"/>
        <w:rPr>
          <w:rFonts w:ascii="Times New Roman" w:hAnsi="Times New Roman" w:cs="Times New Roman"/>
          <w:kern w:val="2"/>
          <w:sz w:val="24"/>
          <w:szCs w:val="24"/>
        </w:rPr>
      </w:pPr>
      <w:r>
        <w:rPr>
          <w:rFonts w:hint="eastAsia" w:ascii="Times New Roman" w:hAnsi="Times New Roman" w:cs="Times New Roman"/>
          <w:kern w:val="2"/>
          <w:sz w:val="24"/>
          <w:szCs w:val="24"/>
        </w:rPr>
        <w:t>我方在此声明，我方近三年（202</w:t>
      </w:r>
      <w:r>
        <w:rPr>
          <w:rFonts w:hint="eastAsia" w:ascii="Times New Roman" w:hAnsi="Times New Roman" w:cs="Times New Roman"/>
          <w:kern w:val="2"/>
          <w:sz w:val="24"/>
          <w:szCs w:val="24"/>
          <w:lang w:val="en-US" w:eastAsia="zh-CN"/>
        </w:rPr>
        <w:t>2</w:t>
      </w:r>
      <w:r>
        <w:rPr>
          <w:rFonts w:hint="eastAsia" w:ascii="Times New Roman" w:hAnsi="Times New Roman" w:cs="Times New Roman"/>
          <w:kern w:val="2"/>
          <w:sz w:val="24"/>
          <w:szCs w:val="24"/>
        </w:rPr>
        <w:t>年1月1日至比选申请文件递交截止日）内无不良行为记录，未处于财产被接管、冻结、破产状态，未处于四川省行政区域内有关行政处罚期间。</w:t>
      </w:r>
    </w:p>
    <w:p w14:paraId="2FD335C5">
      <w:pPr>
        <w:pStyle w:val="44"/>
        <w:spacing w:line="360" w:lineRule="auto"/>
        <w:ind w:firstLine="480" w:firstLineChars="200"/>
        <w:rPr>
          <w:rFonts w:ascii="Times New Roman" w:hAnsi="Times New Roman" w:cs="Times New Roman"/>
          <w:kern w:val="2"/>
          <w:sz w:val="24"/>
          <w:szCs w:val="24"/>
        </w:rPr>
      </w:pPr>
      <w:r>
        <w:rPr>
          <w:rFonts w:hint="eastAsia" w:ascii="Times New Roman" w:hAnsi="Times New Roman" w:cs="Times New Roman"/>
          <w:kern w:val="2"/>
          <w:sz w:val="24"/>
          <w:szCs w:val="24"/>
        </w:rPr>
        <w:t>同时承诺我方在人员、设备、工艺技术、资金、维护保养、应急处理等方面具备满足本项目所需的相应实施能力。</w:t>
      </w:r>
    </w:p>
    <w:p w14:paraId="54C2A19A">
      <w:pPr>
        <w:tabs>
          <w:tab w:val="left" w:pos="5220"/>
          <w:tab w:val="left" w:pos="5400"/>
          <w:tab w:val="left" w:pos="5580"/>
        </w:tabs>
        <w:autoSpaceDE w:val="0"/>
        <w:autoSpaceDN w:val="0"/>
        <w:spacing w:line="360" w:lineRule="auto"/>
        <w:ind w:firstLine="480" w:firstLineChars="200"/>
        <w:rPr>
          <w:kern w:val="0"/>
          <w:szCs w:val="21"/>
        </w:rPr>
      </w:pPr>
      <w:r>
        <w:rPr>
          <w:rFonts w:hint="eastAsia"/>
          <w:sz w:val="24"/>
        </w:rPr>
        <w:t>我方承诺所提供的充电设备产品符合本比选公告第四条“设备要求”及本比选文件第四章设备标准和要求。</w:t>
      </w:r>
      <w:r>
        <w:rPr>
          <w:rFonts w:hint="eastAsia"/>
          <w:kern w:val="0"/>
          <w:sz w:val="24"/>
          <w:szCs w:val="21"/>
        </w:rPr>
        <w:t>充电堆设备外观符合比选人要求。</w:t>
      </w:r>
      <w:r>
        <w:rPr>
          <w:rFonts w:hint="eastAsia"/>
          <w:sz w:val="24"/>
        </w:rPr>
        <w:t>我方提供的设备主要零部件：充电枪制造商为</w:t>
      </w:r>
      <w:r>
        <w:rPr>
          <w:rFonts w:hint="eastAsia"/>
          <w:sz w:val="24"/>
          <w:u w:val="single"/>
        </w:rPr>
        <w:t xml:space="preserve">          </w:t>
      </w:r>
      <w:r>
        <w:rPr>
          <w:rFonts w:hint="eastAsia"/>
          <w:sz w:val="24"/>
        </w:rPr>
        <w:t>、充电模块制造商为</w:t>
      </w:r>
      <w:r>
        <w:rPr>
          <w:rFonts w:hint="eastAsia"/>
          <w:sz w:val="24"/>
          <w:u w:val="single"/>
        </w:rPr>
        <w:t xml:space="preserve">      ，</w:t>
      </w:r>
      <w:r>
        <w:rPr>
          <w:rFonts w:hint="eastAsia"/>
          <w:sz w:val="24"/>
        </w:rPr>
        <w:t>并保证提供的设备是上述制造商的原装产</w:t>
      </w:r>
      <w:r>
        <w:rPr>
          <w:rFonts w:hint="eastAsia" w:ascii="Arial" w:hAnsi="Arial" w:cs="黑体"/>
          <w:kern w:val="0"/>
          <w:sz w:val="24"/>
          <w:szCs w:val="21"/>
        </w:rPr>
        <w:t>品。如供货的原品牌生产商质保期高于60个月的，按原品牌生产商承诺的质保期执行。</w:t>
      </w:r>
    </w:p>
    <w:p w14:paraId="49BE8562">
      <w:pPr>
        <w:pStyle w:val="44"/>
        <w:ind w:firstLine="480" w:firstLineChars="200"/>
        <w:rPr>
          <w:sz w:val="24"/>
        </w:rPr>
      </w:pPr>
    </w:p>
    <w:p w14:paraId="2D0FE4C8">
      <w:pPr>
        <w:pStyle w:val="44"/>
        <w:ind w:firstLine="480" w:firstLineChars="200"/>
        <w:rPr>
          <w:sz w:val="24"/>
        </w:rPr>
      </w:pPr>
    </w:p>
    <w:p w14:paraId="55C8A0E0"/>
    <w:p w14:paraId="0CD09183">
      <w:pPr>
        <w:pStyle w:val="15"/>
        <w:tabs>
          <w:tab w:val="left" w:pos="4710"/>
        </w:tabs>
        <w:spacing w:line="440" w:lineRule="exact"/>
        <w:jc w:val="left"/>
        <w:rPr>
          <w:rFonts w:hint="eastAsia" w:hAnsi="宋体"/>
          <w:b/>
          <w:sz w:val="24"/>
          <w:szCs w:val="24"/>
        </w:rPr>
      </w:pPr>
    </w:p>
    <w:p w14:paraId="386B03CA">
      <w:pPr>
        <w:pStyle w:val="15"/>
        <w:spacing w:line="360" w:lineRule="auto"/>
        <w:ind w:firstLine="4680" w:firstLineChars="1950"/>
        <w:rPr>
          <w:rFonts w:hint="eastAsia" w:hAnsi="宋体"/>
          <w:sz w:val="24"/>
          <w:szCs w:val="24"/>
        </w:rPr>
      </w:pPr>
      <w:r>
        <w:rPr>
          <w:rFonts w:hint="eastAsia" w:hAnsi="宋体"/>
          <w:sz w:val="24"/>
          <w:szCs w:val="24"/>
        </w:rPr>
        <w:t>比选申请人：</w:t>
      </w:r>
      <w:r>
        <w:rPr>
          <w:rFonts w:hint="eastAsia" w:hAnsi="宋体"/>
          <w:sz w:val="24"/>
          <w:szCs w:val="24"/>
          <w:u w:val="single"/>
        </w:rPr>
        <w:t xml:space="preserve">    （单位全称）    （盖单位章）</w:t>
      </w:r>
    </w:p>
    <w:p w14:paraId="7C7D34DF">
      <w:pPr>
        <w:pStyle w:val="15"/>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6A623CB4">
      <w:pPr>
        <w:pStyle w:val="15"/>
        <w:spacing w:line="360" w:lineRule="auto"/>
        <w:jc w:val="right"/>
        <w:rPr>
          <w:rFonts w:hint="eastAsia" w:hAnsi="宋体"/>
          <w:sz w:val="24"/>
          <w:szCs w:val="24"/>
        </w:rPr>
      </w:pPr>
      <w:r>
        <w:rPr>
          <w:rFonts w:hint="eastAsia" w:hAnsi="宋体"/>
          <w:sz w:val="24"/>
          <w:szCs w:val="24"/>
        </w:rPr>
        <w:t>年月日</w:t>
      </w:r>
    </w:p>
    <w:p w14:paraId="55BFC298">
      <w:pPr>
        <w:pStyle w:val="15"/>
        <w:tabs>
          <w:tab w:val="left" w:pos="4710"/>
        </w:tabs>
        <w:spacing w:line="440" w:lineRule="exact"/>
        <w:jc w:val="right"/>
        <w:rPr>
          <w:rFonts w:hint="eastAsia" w:hAnsi="宋体"/>
          <w:b/>
          <w:sz w:val="28"/>
          <w:szCs w:val="28"/>
        </w:rPr>
      </w:pPr>
    </w:p>
    <w:p w14:paraId="38992F10">
      <w:pPr>
        <w:pStyle w:val="15"/>
        <w:tabs>
          <w:tab w:val="left" w:pos="4710"/>
        </w:tabs>
        <w:spacing w:line="440" w:lineRule="exact"/>
        <w:jc w:val="left"/>
        <w:rPr>
          <w:rFonts w:hint="eastAsia" w:hAnsi="宋体"/>
          <w:b/>
          <w:sz w:val="28"/>
          <w:szCs w:val="28"/>
        </w:rPr>
      </w:pPr>
    </w:p>
    <w:p w14:paraId="67AF5D97">
      <w:pPr>
        <w:pStyle w:val="15"/>
        <w:tabs>
          <w:tab w:val="left" w:pos="4710"/>
        </w:tabs>
        <w:spacing w:line="440" w:lineRule="exact"/>
        <w:jc w:val="left"/>
        <w:rPr>
          <w:rFonts w:hint="eastAsia" w:hAnsi="宋体"/>
          <w:b/>
          <w:sz w:val="28"/>
          <w:szCs w:val="28"/>
        </w:rPr>
      </w:pPr>
    </w:p>
    <w:p w14:paraId="4DA64F75">
      <w:pPr>
        <w:pStyle w:val="15"/>
        <w:tabs>
          <w:tab w:val="left" w:pos="4710"/>
        </w:tabs>
        <w:spacing w:line="440" w:lineRule="exact"/>
        <w:jc w:val="left"/>
        <w:rPr>
          <w:rFonts w:hint="eastAsia" w:hAnsi="宋体"/>
          <w:b/>
          <w:sz w:val="28"/>
          <w:szCs w:val="28"/>
        </w:rPr>
      </w:pPr>
    </w:p>
    <w:p w14:paraId="00432109">
      <w:pPr>
        <w:pStyle w:val="15"/>
        <w:tabs>
          <w:tab w:val="left" w:pos="4710"/>
        </w:tabs>
        <w:spacing w:line="440" w:lineRule="exact"/>
        <w:jc w:val="left"/>
        <w:rPr>
          <w:rFonts w:hint="eastAsia" w:hAnsi="宋体"/>
          <w:b/>
          <w:sz w:val="28"/>
          <w:szCs w:val="28"/>
        </w:rPr>
      </w:pPr>
    </w:p>
    <w:p w14:paraId="2A570E78">
      <w:pPr>
        <w:pStyle w:val="15"/>
        <w:tabs>
          <w:tab w:val="left" w:pos="4710"/>
        </w:tabs>
        <w:spacing w:line="440" w:lineRule="exact"/>
        <w:jc w:val="left"/>
        <w:rPr>
          <w:rFonts w:hint="eastAsia" w:hAnsi="宋体"/>
          <w:b/>
          <w:sz w:val="28"/>
          <w:szCs w:val="28"/>
        </w:rPr>
      </w:pPr>
    </w:p>
    <w:p w14:paraId="68D2CDE9">
      <w:pPr>
        <w:pStyle w:val="15"/>
        <w:tabs>
          <w:tab w:val="left" w:pos="4710"/>
        </w:tabs>
        <w:spacing w:line="440" w:lineRule="exact"/>
        <w:jc w:val="left"/>
        <w:rPr>
          <w:rFonts w:hint="eastAsia" w:hAnsi="宋体"/>
          <w:b/>
          <w:sz w:val="28"/>
          <w:szCs w:val="28"/>
        </w:rPr>
      </w:pPr>
    </w:p>
    <w:p w14:paraId="7A325455">
      <w:pPr>
        <w:pStyle w:val="15"/>
        <w:tabs>
          <w:tab w:val="left" w:pos="4710"/>
        </w:tabs>
        <w:spacing w:line="440" w:lineRule="exact"/>
        <w:jc w:val="left"/>
        <w:rPr>
          <w:rFonts w:hint="eastAsia" w:hAnsi="宋体"/>
          <w:b/>
          <w:sz w:val="28"/>
          <w:szCs w:val="28"/>
        </w:rPr>
      </w:pPr>
    </w:p>
    <w:p w14:paraId="77DA4845">
      <w:pPr>
        <w:pStyle w:val="15"/>
        <w:tabs>
          <w:tab w:val="left" w:pos="4710"/>
        </w:tabs>
        <w:spacing w:line="440" w:lineRule="exact"/>
        <w:jc w:val="left"/>
        <w:rPr>
          <w:rFonts w:hint="eastAsia" w:hAnsi="宋体"/>
          <w:b/>
          <w:sz w:val="28"/>
          <w:szCs w:val="28"/>
        </w:rPr>
      </w:pPr>
    </w:p>
    <w:p w14:paraId="0C1387F7">
      <w:pPr>
        <w:pStyle w:val="15"/>
        <w:tabs>
          <w:tab w:val="left" w:pos="4710"/>
        </w:tabs>
        <w:spacing w:line="440" w:lineRule="exact"/>
        <w:jc w:val="left"/>
        <w:rPr>
          <w:rFonts w:hint="eastAsia" w:hAnsi="宋体"/>
          <w:b/>
          <w:sz w:val="28"/>
          <w:szCs w:val="28"/>
        </w:rPr>
      </w:pPr>
    </w:p>
    <w:bookmarkEnd w:id="44"/>
    <w:p w14:paraId="05D8F5E4">
      <w:pPr>
        <w:rPr>
          <w:rFonts w:hint="eastAsia"/>
        </w:rPr>
      </w:pPr>
      <w:r>
        <w:rPr>
          <w:rFonts w:hint="eastAsia"/>
        </w:rPr>
        <w:br w:type="page"/>
      </w:r>
    </w:p>
    <w:p w14:paraId="6453BCCF">
      <w:pPr>
        <w:pStyle w:val="7"/>
      </w:pPr>
      <w:r>
        <w:rPr>
          <w:rFonts w:hint="eastAsia"/>
        </w:rPr>
        <w:t>六、费用报价单</w:t>
      </w:r>
    </w:p>
    <w:p w14:paraId="7B7F463C">
      <w:pPr>
        <w:pStyle w:val="15"/>
        <w:snapToGrid w:val="0"/>
        <w:spacing w:line="360" w:lineRule="auto"/>
        <w:jc w:val="left"/>
        <w:rPr>
          <w:rFonts w:hint="eastAsia" w:hAnsi="宋体" w:cs="宋体"/>
          <w:color w:val="000000"/>
          <w:kern w:val="44"/>
          <w:sz w:val="24"/>
          <w:szCs w:val="24"/>
          <w:lang w:bidi="en-US"/>
        </w:rPr>
      </w:pPr>
    </w:p>
    <w:tbl>
      <w:tblPr>
        <w:tblStyle w:val="26"/>
        <w:tblW w:w="9552" w:type="dxa"/>
        <w:tblInd w:w="-364" w:type="dxa"/>
        <w:tblLayout w:type="fixed"/>
        <w:tblCellMar>
          <w:top w:w="0" w:type="dxa"/>
          <w:left w:w="108" w:type="dxa"/>
          <w:bottom w:w="0" w:type="dxa"/>
          <w:right w:w="108" w:type="dxa"/>
        </w:tblCellMar>
      </w:tblPr>
      <w:tblGrid>
        <w:gridCol w:w="457"/>
        <w:gridCol w:w="1586"/>
        <w:gridCol w:w="1121"/>
        <w:gridCol w:w="1150"/>
        <w:gridCol w:w="874"/>
        <w:gridCol w:w="1238"/>
        <w:gridCol w:w="1282"/>
        <w:gridCol w:w="1606"/>
        <w:gridCol w:w="238"/>
      </w:tblGrid>
      <w:tr w14:paraId="5BC1E01C">
        <w:tblPrEx>
          <w:tblCellMar>
            <w:top w:w="0" w:type="dxa"/>
            <w:left w:w="108" w:type="dxa"/>
            <w:bottom w:w="0" w:type="dxa"/>
            <w:right w:w="108" w:type="dxa"/>
          </w:tblCellMar>
        </w:tblPrEx>
        <w:trPr>
          <w:gridBefore w:val="1"/>
          <w:gridAfter w:val="1"/>
          <w:wBefore w:w="457" w:type="dxa"/>
          <w:wAfter w:w="238" w:type="dxa"/>
          <w:trHeight w:val="560" w:hRule="atLeast"/>
        </w:trPr>
        <w:tc>
          <w:tcPr>
            <w:tcW w:w="8857" w:type="dxa"/>
            <w:gridSpan w:val="7"/>
            <w:tcBorders>
              <w:top w:val="nil"/>
              <w:left w:val="nil"/>
              <w:bottom w:val="nil"/>
              <w:right w:val="nil"/>
            </w:tcBorders>
            <w:vAlign w:val="center"/>
          </w:tcPr>
          <w:p w14:paraId="5CB6615C">
            <w:pPr>
              <w:pStyle w:val="8"/>
            </w:pPr>
            <w:r>
              <w:rPr>
                <w:rFonts w:hint="eastAsia"/>
              </w:rPr>
              <w:t>费用报价单</w:t>
            </w:r>
          </w:p>
        </w:tc>
      </w:tr>
      <w:tr w14:paraId="1BC28AF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20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BF7C45">
            <w:pPr>
              <w:spacing w:line="440" w:lineRule="exact"/>
              <w:jc w:val="center"/>
              <w:rPr>
                <w:rFonts w:hint="eastAsia" w:ascii="宋体" w:hAnsi="宋体" w:cs="Courier New"/>
                <w:sz w:val="24"/>
                <w:szCs w:val="21"/>
              </w:rPr>
            </w:pPr>
            <w:r>
              <w:rPr>
                <w:rFonts w:hint="eastAsia" w:ascii="宋体" w:hAnsi="宋体" w:cs="Courier New"/>
                <w:sz w:val="24"/>
                <w:szCs w:val="21"/>
              </w:rPr>
              <w:t>设备名称</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14:paraId="480F44B3">
            <w:pPr>
              <w:spacing w:line="440" w:lineRule="exact"/>
              <w:jc w:val="center"/>
              <w:rPr>
                <w:rFonts w:hint="eastAsia" w:ascii="宋体" w:hAnsi="宋体" w:cs="Courier New"/>
                <w:sz w:val="24"/>
                <w:szCs w:val="21"/>
              </w:rPr>
            </w:pPr>
            <w:r>
              <w:rPr>
                <w:rFonts w:hint="eastAsia" w:ascii="宋体" w:hAnsi="宋体" w:cs="Courier New"/>
                <w:sz w:val="24"/>
                <w:szCs w:val="21"/>
              </w:rPr>
              <w:t>型号</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CCB5482">
            <w:pPr>
              <w:spacing w:line="440" w:lineRule="exact"/>
              <w:jc w:val="center"/>
              <w:rPr>
                <w:rFonts w:hint="eastAsia" w:ascii="宋体" w:hAnsi="宋体" w:cs="Courier New"/>
                <w:sz w:val="24"/>
                <w:szCs w:val="21"/>
              </w:rPr>
            </w:pPr>
            <w:r>
              <w:rPr>
                <w:rFonts w:ascii="宋体" w:hAnsi="宋体" w:cs="Courier New"/>
                <w:sz w:val="24"/>
                <w:szCs w:val="21"/>
              </w:rPr>
              <w:t>数量</w:t>
            </w:r>
            <w:r>
              <w:rPr>
                <w:rFonts w:hint="eastAsia" w:ascii="宋体" w:hAnsi="宋体" w:cs="Courier New"/>
                <w:sz w:val="24"/>
                <w:szCs w:val="21"/>
              </w:rPr>
              <w:t>（套）</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6F75ABA8">
            <w:pPr>
              <w:spacing w:line="440" w:lineRule="exact"/>
              <w:jc w:val="center"/>
              <w:rPr>
                <w:rFonts w:hint="eastAsia" w:ascii="宋体" w:hAnsi="宋体" w:cs="Courier New"/>
                <w:sz w:val="24"/>
                <w:szCs w:val="21"/>
              </w:rPr>
            </w:pPr>
            <w:r>
              <w:rPr>
                <w:rFonts w:hint="eastAsia" w:ascii="宋体" w:hAnsi="宋体" w:cs="Courier New"/>
                <w:sz w:val="24"/>
                <w:szCs w:val="21"/>
              </w:rPr>
              <w:t>税率</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10474139">
            <w:pPr>
              <w:spacing w:line="440" w:lineRule="exact"/>
              <w:jc w:val="center"/>
              <w:rPr>
                <w:rFonts w:hint="eastAsia" w:ascii="宋体" w:hAnsi="宋体" w:cs="Courier New"/>
                <w:sz w:val="24"/>
                <w:szCs w:val="21"/>
              </w:rPr>
            </w:pPr>
            <w:r>
              <w:rPr>
                <w:rFonts w:ascii="宋体" w:hAnsi="宋体" w:cs="Courier New"/>
                <w:sz w:val="24"/>
                <w:szCs w:val="21"/>
              </w:rPr>
              <w:t>含税单价（元）</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89DDE7B">
            <w:pPr>
              <w:spacing w:line="440" w:lineRule="exact"/>
              <w:jc w:val="center"/>
              <w:rPr>
                <w:rFonts w:hint="eastAsia" w:ascii="宋体" w:hAnsi="宋体" w:cs="Courier New"/>
                <w:sz w:val="24"/>
                <w:szCs w:val="21"/>
              </w:rPr>
            </w:pPr>
            <w:r>
              <w:rPr>
                <w:rFonts w:ascii="宋体" w:hAnsi="宋体" w:cs="Courier New"/>
                <w:sz w:val="24"/>
                <w:szCs w:val="21"/>
              </w:rPr>
              <w:t>含税总</w:t>
            </w:r>
            <w:r>
              <w:rPr>
                <w:rFonts w:hint="eastAsia" w:ascii="宋体" w:hAnsi="宋体" w:cs="Courier New"/>
                <w:sz w:val="24"/>
                <w:szCs w:val="21"/>
              </w:rPr>
              <w:t>价</w:t>
            </w:r>
            <w:r>
              <w:rPr>
                <w:rFonts w:ascii="宋体" w:hAnsi="宋体" w:cs="Courier New"/>
                <w:sz w:val="24"/>
                <w:szCs w:val="21"/>
              </w:rPr>
              <w:t>（元）</w:t>
            </w:r>
          </w:p>
        </w:tc>
        <w:tc>
          <w:tcPr>
            <w:tcW w:w="18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6CE60D">
            <w:pPr>
              <w:spacing w:line="440" w:lineRule="exact"/>
              <w:jc w:val="center"/>
              <w:rPr>
                <w:rFonts w:hint="eastAsia" w:ascii="宋体" w:hAnsi="宋体" w:cs="Courier New"/>
                <w:sz w:val="24"/>
                <w:szCs w:val="21"/>
              </w:rPr>
            </w:pPr>
            <w:r>
              <w:rPr>
                <w:rFonts w:ascii="宋体" w:hAnsi="宋体" w:cs="Courier New"/>
                <w:sz w:val="24"/>
                <w:szCs w:val="21"/>
              </w:rPr>
              <w:t>备注</w:t>
            </w:r>
          </w:p>
        </w:tc>
      </w:tr>
      <w:tr w14:paraId="72775AF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913" w:hRule="atLeast"/>
          <w:jc w:val="center"/>
        </w:trPr>
        <w:tc>
          <w:tcPr>
            <w:tcW w:w="20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5A0485">
            <w:pPr>
              <w:spacing w:line="440" w:lineRule="exact"/>
              <w:jc w:val="center"/>
              <w:rPr>
                <w:rFonts w:hint="eastAsia" w:ascii="宋体" w:hAnsi="宋体" w:cs="Courier New"/>
                <w:sz w:val="24"/>
                <w:szCs w:val="21"/>
              </w:rPr>
            </w:pPr>
            <w:r>
              <w:rPr>
                <w:rFonts w:hint="eastAsia" w:ascii="宋体" w:hAnsi="宋体" w:cs="Courier New"/>
                <w:sz w:val="24"/>
                <w:szCs w:val="21"/>
              </w:rPr>
              <w:t>480KW充电堆</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14:paraId="456C0D2D">
            <w:pPr>
              <w:spacing w:line="440" w:lineRule="exact"/>
              <w:jc w:val="center"/>
              <w:rPr>
                <w:rFonts w:hint="eastAsia" w:ascii="宋体" w:hAnsi="宋体" w:cs="Courier New"/>
                <w:sz w:val="24"/>
                <w:szCs w:val="21"/>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5D424D4A">
            <w:pPr>
              <w:spacing w:line="440" w:lineRule="exact"/>
              <w:jc w:val="center"/>
              <w:rPr>
                <w:rFonts w:hint="eastAsia" w:ascii="宋体" w:hAnsi="宋体" w:eastAsia="宋体" w:cs="Courier New"/>
                <w:sz w:val="24"/>
                <w:szCs w:val="21"/>
                <w:lang w:eastAsia="zh-CN"/>
              </w:rPr>
            </w:pPr>
            <w:r>
              <w:rPr>
                <w:rFonts w:hint="eastAsia" w:ascii="宋体" w:hAnsi="宋体" w:cs="Courier New"/>
                <w:sz w:val="24"/>
                <w:szCs w:val="21"/>
                <w:lang w:val="en-US" w:eastAsia="zh-CN"/>
              </w:rPr>
              <w:t>2</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539BF6D5">
            <w:pPr>
              <w:spacing w:line="440" w:lineRule="exact"/>
              <w:jc w:val="center"/>
              <w:rPr>
                <w:rFonts w:hint="default" w:ascii="宋体" w:hAnsi="宋体" w:cs="Courier New"/>
                <w:sz w:val="24"/>
                <w:szCs w:val="21"/>
                <w:u w:val="none"/>
              </w:rPr>
            </w:pPr>
            <w:r>
              <w:rPr>
                <w:rFonts w:hint="eastAsia" w:ascii="宋体" w:hAnsi="宋体" w:cs="Courier New"/>
                <w:sz w:val="24"/>
                <w:szCs w:val="21"/>
                <w:u w:val="none"/>
                <w:lang w:val="en-US" w:eastAsia="zh-CN"/>
              </w:rPr>
              <w:t xml:space="preserve"> </w:t>
            </w:r>
            <w:r>
              <w:rPr>
                <w:rFonts w:hint="eastAsia" w:ascii="宋体" w:hAnsi="宋体" w:cs="Courier New"/>
                <w:sz w:val="24"/>
                <w:szCs w:val="21"/>
                <w:u w:val="single"/>
                <w:lang w:val="en-US" w:eastAsia="zh-CN"/>
              </w:rPr>
              <w:t xml:space="preserve">  </w:t>
            </w:r>
            <w:r>
              <w:rPr>
                <w:rFonts w:hint="eastAsia" w:ascii="宋体" w:hAnsi="宋体" w:cs="Courier New"/>
                <w:sz w:val="24"/>
                <w:szCs w:val="21"/>
                <w:u w:val="none"/>
                <w:lang w:val="en-US" w:eastAsia="zh-CN"/>
              </w:rPr>
              <w:t>%</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21593940">
            <w:pPr>
              <w:spacing w:line="440" w:lineRule="exact"/>
              <w:jc w:val="center"/>
              <w:rPr>
                <w:rFonts w:hint="eastAsia" w:ascii="宋体" w:hAnsi="宋体" w:cs="Courier New"/>
                <w:sz w:val="24"/>
                <w:szCs w:val="21"/>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6F606FE">
            <w:pPr>
              <w:spacing w:line="440" w:lineRule="exact"/>
              <w:jc w:val="center"/>
              <w:rPr>
                <w:rFonts w:hint="eastAsia" w:ascii="宋体" w:hAnsi="宋体" w:cs="Courier New"/>
                <w:sz w:val="24"/>
                <w:szCs w:val="21"/>
              </w:rPr>
            </w:pPr>
          </w:p>
          <w:p w14:paraId="577727B2">
            <w:pPr>
              <w:spacing w:line="440" w:lineRule="exact"/>
              <w:jc w:val="center"/>
              <w:rPr>
                <w:rFonts w:hint="eastAsia" w:ascii="宋体" w:hAnsi="宋体" w:cs="Courier New"/>
                <w:sz w:val="24"/>
                <w:szCs w:val="21"/>
              </w:rPr>
            </w:pPr>
          </w:p>
          <w:p w14:paraId="113AC763">
            <w:pPr>
              <w:spacing w:line="440" w:lineRule="exact"/>
              <w:jc w:val="center"/>
              <w:rPr>
                <w:rFonts w:hint="eastAsia" w:ascii="宋体" w:hAnsi="宋体" w:cs="Courier New"/>
                <w:sz w:val="24"/>
                <w:szCs w:val="21"/>
              </w:rPr>
            </w:pPr>
          </w:p>
          <w:p w14:paraId="16FFCDC6">
            <w:pPr>
              <w:spacing w:line="440" w:lineRule="exact"/>
              <w:jc w:val="center"/>
              <w:rPr>
                <w:rFonts w:hint="eastAsia" w:ascii="宋体" w:hAnsi="宋体" w:cs="Courier New"/>
                <w:sz w:val="24"/>
                <w:szCs w:val="21"/>
              </w:rPr>
            </w:pPr>
          </w:p>
          <w:p w14:paraId="6E85F03B">
            <w:pPr>
              <w:spacing w:line="440" w:lineRule="exact"/>
              <w:jc w:val="both"/>
              <w:rPr>
                <w:rFonts w:hint="eastAsia" w:ascii="宋体" w:hAnsi="宋体" w:cs="Courier New"/>
                <w:sz w:val="24"/>
                <w:szCs w:val="21"/>
              </w:rPr>
            </w:pPr>
            <w:r>
              <w:rPr>
                <w:rFonts w:hint="eastAsia" w:ascii="宋体" w:hAnsi="宋体" w:cs="Courier New"/>
                <w:sz w:val="24"/>
                <w:szCs w:val="21"/>
              </w:rPr>
              <w:t>（小数点保留2位）</w:t>
            </w:r>
          </w:p>
        </w:tc>
        <w:tc>
          <w:tcPr>
            <w:tcW w:w="18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5F561C">
            <w:pPr>
              <w:spacing w:before="68" w:line="440" w:lineRule="exact"/>
              <w:ind w:left="0" w:right="48"/>
              <w:jc w:val="both"/>
              <w:rPr>
                <w:rFonts w:hint="eastAsia" w:ascii="宋体" w:hAnsi="宋体" w:cs="Courier New"/>
                <w:sz w:val="24"/>
                <w:szCs w:val="21"/>
              </w:rPr>
            </w:pPr>
            <w:r>
              <w:rPr>
                <w:rFonts w:hint="eastAsia" w:ascii="宋体" w:hAnsi="宋体" w:eastAsia="宋体" w:cs="Courier New"/>
                <w:sz w:val="24"/>
                <w:szCs w:val="21"/>
              </w:rPr>
              <w:t>每套充电堆包含</w:t>
            </w:r>
            <w:r>
              <w:rPr>
                <w:rFonts w:hint="eastAsia" w:ascii="宋体" w:hAnsi="宋体" w:eastAsia="宋体" w:cs="Courier New"/>
                <w:sz w:val="24"/>
                <w:szCs w:val="21"/>
                <w:lang w:eastAsia="zh-CN"/>
              </w:rPr>
              <w:t>4</w:t>
            </w:r>
            <w:r>
              <w:rPr>
                <w:rFonts w:hint="eastAsia" w:ascii="宋体" w:hAnsi="宋体" w:eastAsia="宋体" w:cs="Courier New"/>
                <w:sz w:val="24"/>
                <w:szCs w:val="21"/>
                <w:lang w:val="en-US" w:eastAsia="zh-CN"/>
              </w:rPr>
              <w:t>台</w:t>
            </w:r>
            <w:r>
              <w:rPr>
                <w:rFonts w:hint="eastAsia" w:ascii="宋体" w:hAnsi="宋体" w:eastAsia="宋体" w:cs="Courier New"/>
                <w:sz w:val="24"/>
                <w:szCs w:val="21"/>
              </w:rPr>
              <w:t>普通充电</w:t>
            </w:r>
            <w:r>
              <w:rPr>
                <w:rFonts w:hint="eastAsia" w:ascii="宋体" w:hAnsi="宋体" w:eastAsia="宋体" w:cs="Courier New"/>
                <w:sz w:val="24"/>
                <w:szCs w:val="21"/>
                <w:lang w:val="en-US" w:eastAsia="zh-CN"/>
              </w:rPr>
              <w:t>桩</w:t>
            </w:r>
            <w:r>
              <w:rPr>
                <w:rFonts w:hint="eastAsia" w:ascii="宋体" w:hAnsi="宋体" w:eastAsia="宋体" w:cs="Courier New"/>
                <w:sz w:val="24"/>
                <w:szCs w:val="21"/>
              </w:rPr>
              <w:t>（单桩双枪）</w:t>
            </w:r>
          </w:p>
        </w:tc>
      </w:tr>
    </w:tbl>
    <w:p w14:paraId="67E8C988">
      <w:pPr>
        <w:pStyle w:val="2"/>
        <w:spacing w:after="0"/>
        <w:ind w:left="0" w:leftChars="0" w:firstLine="0" w:firstLineChars="0"/>
        <w:rPr>
          <w:sz w:val="24"/>
          <w:szCs w:val="24"/>
        </w:rPr>
      </w:pPr>
    </w:p>
    <w:p w14:paraId="68885B84">
      <w:pPr>
        <w:pStyle w:val="44"/>
        <w:rPr>
          <w:sz w:val="24"/>
          <w:lang w:bidi="en-US"/>
        </w:rPr>
      </w:pPr>
      <w:r>
        <w:rPr>
          <w:rFonts w:hint="eastAsia"/>
          <w:sz w:val="24"/>
          <w:lang w:bidi="en-US"/>
        </w:rPr>
        <w:t>说明：</w:t>
      </w:r>
    </w:p>
    <w:p w14:paraId="522BD37C">
      <w:pPr>
        <w:pStyle w:val="44"/>
        <w:rPr>
          <w:bCs/>
          <w:sz w:val="24"/>
          <w:lang w:bidi="en-US"/>
        </w:rPr>
      </w:pPr>
      <w:r>
        <w:rPr>
          <w:rFonts w:hint="eastAsia"/>
          <w:bCs/>
          <w:sz w:val="24"/>
          <w:lang w:bidi="en-US"/>
        </w:rPr>
        <w:t>（1）比选申请报价不得超过比选文件最高比选申请限价。</w:t>
      </w:r>
    </w:p>
    <w:p w14:paraId="765D1189">
      <w:pPr>
        <w:pStyle w:val="44"/>
        <w:rPr>
          <w:rFonts w:hint="eastAsia"/>
          <w:bCs/>
          <w:sz w:val="24"/>
          <w:lang w:bidi="en-US"/>
        </w:rPr>
      </w:pPr>
      <w:r>
        <w:rPr>
          <w:rFonts w:hint="eastAsia"/>
          <w:bCs/>
          <w:sz w:val="24"/>
          <w:lang w:bidi="en-US"/>
        </w:rPr>
        <w:t>（2）费用包括但不限于本合同所有充电堆设备(含全部配件、备品备件、材料、专用工具)的设计费、设备费、仓储费、运输费、包装费、运杂费、吊装费、卸车费、临时保管费、人工费、保险费、调试费、税费、管理费、技术服务费、技术资料费、检测费、计量检定、质保及免费上门维护费等与比选申请人应承担的所有义务和所有工作的一切费用。</w:t>
      </w:r>
    </w:p>
    <w:p w14:paraId="1700A90A">
      <w:pPr>
        <w:pStyle w:val="44"/>
        <w:rPr>
          <w:rFonts w:hint="default"/>
          <w:bCs/>
          <w:sz w:val="24"/>
          <w:lang w:val="en-US" w:bidi="en-US"/>
        </w:rPr>
      </w:pPr>
      <w:r>
        <w:rPr>
          <w:rFonts w:hint="eastAsia" w:ascii="Arial" w:hAnsi="Arial" w:cs="黑体"/>
          <w:bCs/>
          <w:spacing w:val="0"/>
          <w:sz w:val="24"/>
          <w:szCs w:val="21"/>
          <w:lang w:val="en-US" w:eastAsia="zh-CN" w:bidi="en-US"/>
        </w:rPr>
        <w:t>（3）</w:t>
      </w:r>
      <w:r>
        <w:rPr>
          <w:rFonts w:hint="eastAsia" w:ascii="Arial" w:hAnsi="Arial" w:eastAsia="宋体" w:cs="黑体"/>
          <w:bCs/>
          <w:spacing w:val="0"/>
          <w:sz w:val="24"/>
          <w:szCs w:val="21"/>
          <w:lang w:val="en-US" w:eastAsia="zh-CN" w:bidi="en-US"/>
        </w:rPr>
        <w:t>以上设备须接入</w:t>
      </w:r>
      <w:r>
        <w:rPr>
          <w:rFonts w:hint="eastAsia" w:cs="黑体"/>
          <w:bCs/>
          <w:spacing w:val="0"/>
          <w:sz w:val="24"/>
          <w:szCs w:val="21"/>
          <w:lang w:val="en-US" w:eastAsia="zh-CN" w:bidi="en-US"/>
        </w:rPr>
        <w:t>四川蜀道新能源科技发展有限公司</w:t>
      </w:r>
      <w:r>
        <w:rPr>
          <w:rFonts w:hint="eastAsia" w:ascii="Arial" w:hAnsi="Arial" w:eastAsia="宋体" w:cs="黑体"/>
          <w:bCs/>
          <w:spacing w:val="0"/>
          <w:sz w:val="24"/>
          <w:szCs w:val="21"/>
          <w:lang w:val="en-US" w:eastAsia="zh-CN" w:bidi="en-US"/>
        </w:rPr>
        <w:t>运营、监控管理平台</w:t>
      </w:r>
      <w:r>
        <w:rPr>
          <w:rFonts w:hint="eastAsia"/>
          <w:bCs/>
          <w:sz w:val="24"/>
          <w:lang w:bidi="en-US"/>
        </w:rPr>
        <w:t>，</w:t>
      </w:r>
      <w:r>
        <w:rPr>
          <w:rFonts w:hint="eastAsia" w:eastAsia="宋体"/>
          <w:bCs/>
          <w:sz w:val="24"/>
          <w:lang w:val="en-US" w:eastAsia="zh-CN" w:bidi="en-US"/>
        </w:rPr>
        <w:t>所产生的设备平台接入调试费用（若有）由</w:t>
      </w:r>
      <w:r>
        <w:rPr>
          <w:rFonts w:hint="eastAsia"/>
          <w:bCs/>
          <w:sz w:val="24"/>
          <w:lang w:val="en-US" w:eastAsia="zh-CN" w:bidi="en-US"/>
        </w:rPr>
        <w:t>比选申请人</w:t>
      </w:r>
      <w:r>
        <w:rPr>
          <w:rFonts w:hint="eastAsia" w:eastAsia="宋体"/>
          <w:bCs/>
          <w:sz w:val="24"/>
          <w:lang w:val="en-US" w:eastAsia="zh-CN" w:bidi="en-US"/>
        </w:rPr>
        <w:t>综合考虑一并计入设备单价和总价中</w:t>
      </w:r>
      <w:r>
        <w:rPr>
          <w:rFonts w:hint="eastAsia"/>
          <w:bCs/>
          <w:sz w:val="24"/>
          <w:lang w:val="en-US" w:eastAsia="zh-CN" w:bidi="en-US"/>
        </w:rPr>
        <w:t>，</w:t>
      </w:r>
      <w:r>
        <w:rPr>
          <w:rFonts w:hint="eastAsia" w:eastAsia="宋体"/>
          <w:bCs/>
          <w:sz w:val="24"/>
          <w:lang w:val="en-US" w:eastAsia="zh-CN" w:bidi="en-US"/>
        </w:rPr>
        <w:t>设备平台接入调试费用</w:t>
      </w:r>
      <w:r>
        <w:rPr>
          <w:rFonts w:hint="eastAsia"/>
          <w:bCs/>
          <w:sz w:val="24"/>
          <w:lang w:val="en-US" w:eastAsia="zh-CN" w:bidi="en-US"/>
        </w:rPr>
        <w:t>发生时，由比选申请人</w:t>
      </w:r>
      <w:r>
        <w:rPr>
          <w:rFonts w:hint="eastAsia" w:ascii="Arial" w:hAnsi="Arial" w:eastAsia="宋体" w:cs="黑体"/>
          <w:bCs/>
          <w:sz w:val="24"/>
          <w:szCs w:val="21"/>
          <w:lang w:val="en-US" w:eastAsia="zh-CN" w:bidi="en-US"/>
        </w:rPr>
        <w:t>直接向第三方支付</w:t>
      </w:r>
      <w:r>
        <w:rPr>
          <w:rFonts w:hint="eastAsia"/>
          <w:bCs/>
          <w:sz w:val="24"/>
          <w:lang w:val="en-US" w:eastAsia="zh-CN" w:bidi="en-US"/>
        </w:rPr>
        <w:t>。</w:t>
      </w:r>
    </w:p>
    <w:p w14:paraId="6B76BEA3">
      <w:pPr>
        <w:pStyle w:val="44"/>
        <w:rPr>
          <w:bCs/>
          <w:sz w:val="24"/>
          <w:lang w:bidi="en-US"/>
        </w:rPr>
      </w:pPr>
      <w:r>
        <w:rPr>
          <w:rFonts w:hint="eastAsia"/>
          <w:bCs/>
          <w:sz w:val="24"/>
          <w:lang w:bidi="en-US"/>
        </w:rPr>
        <w:t>（</w:t>
      </w:r>
      <w:r>
        <w:rPr>
          <w:rFonts w:hint="eastAsia"/>
          <w:bCs/>
          <w:sz w:val="24"/>
          <w:lang w:val="en-US" w:eastAsia="zh-CN" w:bidi="en-US"/>
        </w:rPr>
        <w:t>4</w:t>
      </w:r>
      <w:r>
        <w:rPr>
          <w:rFonts w:hint="eastAsia"/>
          <w:bCs/>
          <w:sz w:val="24"/>
          <w:lang w:bidi="en-US"/>
        </w:rPr>
        <w:t>）单位：人民币，元。</w:t>
      </w:r>
    </w:p>
    <w:p w14:paraId="457C5572">
      <w:pPr>
        <w:pStyle w:val="2"/>
        <w:spacing w:after="0"/>
        <w:ind w:left="0" w:leftChars="0" w:firstLine="0" w:firstLineChars="0"/>
        <w:rPr>
          <w:sz w:val="24"/>
          <w:szCs w:val="24"/>
        </w:rPr>
      </w:pPr>
    </w:p>
    <w:p w14:paraId="4DE6D559">
      <w:pPr>
        <w:pStyle w:val="2"/>
        <w:ind w:firstLine="560"/>
        <w:jc w:val="right"/>
      </w:pPr>
      <w:r>
        <w:rPr>
          <w:rFonts w:hint="eastAsia"/>
        </w:rPr>
        <w:t>比选申请人</w:t>
      </w:r>
      <w:r>
        <w:rPr>
          <w:rFonts w:hint="eastAsia"/>
          <w:u w:val="single"/>
        </w:rPr>
        <w:t>：                 （盖单位章）</w:t>
      </w:r>
    </w:p>
    <w:p w14:paraId="2B93967E">
      <w:pPr>
        <w:pStyle w:val="2"/>
        <w:ind w:firstLine="560"/>
        <w:jc w:val="right"/>
      </w:pPr>
      <w:r>
        <w:rPr>
          <w:rFonts w:hint="eastAsia"/>
        </w:rPr>
        <w:t>法定代表人或其委托代理人：</w:t>
      </w:r>
      <w:r>
        <w:rPr>
          <w:rFonts w:hint="eastAsia"/>
          <w:u w:val="single"/>
        </w:rPr>
        <w:t xml:space="preserve">       （签字或盖章）</w:t>
      </w:r>
    </w:p>
    <w:p w14:paraId="54D9835B">
      <w:pPr>
        <w:pStyle w:val="2"/>
        <w:ind w:firstLine="560"/>
        <w:jc w:val="right"/>
        <w:rPr>
          <w:rFonts w:hint="eastAsia"/>
        </w:rPr>
      </w:pPr>
      <w:r>
        <w:rPr>
          <w:rFonts w:hint="eastAsia"/>
        </w:rPr>
        <w:t xml:space="preserve">      年     月     日</w:t>
      </w:r>
    </w:p>
    <w:p w14:paraId="58012D79">
      <w:pPr>
        <w:rPr>
          <w:rFonts w:hint="eastAsia"/>
        </w:rPr>
      </w:pPr>
      <w:r>
        <w:rPr>
          <w:rFonts w:hint="eastAsia"/>
        </w:rPr>
        <w:br w:type="page"/>
      </w:r>
    </w:p>
    <w:p w14:paraId="1766D3FD">
      <w:pPr>
        <w:pStyle w:val="7"/>
        <w:rPr>
          <w:rFonts w:ascii="Times New Roman" w:hAnsi="Times New Roman" w:eastAsia="宋体" w:cs="Times New Roman"/>
        </w:rPr>
      </w:pPr>
      <w:r>
        <w:rPr>
          <w:rFonts w:hint="eastAsia" w:ascii="Times New Roman" w:hAnsi="Times New Roman" w:eastAsia="宋体" w:cs="Times New Roman"/>
          <w:sz w:val="32"/>
          <w:szCs w:val="32"/>
          <w:lang w:val="en-US" w:eastAsia="zh-CN"/>
        </w:rPr>
        <w:t>七、</w:t>
      </w:r>
      <w:r>
        <w:rPr>
          <w:rFonts w:hint="eastAsia" w:ascii="Times New Roman" w:hAnsi="Times New Roman" w:eastAsia="宋体" w:cs="Times New Roman"/>
          <w:sz w:val="32"/>
          <w:szCs w:val="32"/>
        </w:rPr>
        <w:t>设备</w:t>
      </w:r>
      <w:r>
        <w:rPr>
          <w:rFonts w:hint="eastAsia" w:ascii="Times New Roman" w:hAnsi="Times New Roman" w:eastAsia="宋体" w:cs="Times New Roman"/>
          <w:sz w:val="32"/>
          <w:szCs w:val="32"/>
          <w:lang w:val="en-US" w:eastAsia="zh-CN"/>
        </w:rPr>
        <w:t>主要参数和要求</w:t>
      </w:r>
      <w:r>
        <w:rPr>
          <w:rFonts w:hint="eastAsia" w:ascii="Times New Roman" w:hAnsi="Times New Roman" w:eastAsia="宋体" w:cs="Times New Roman"/>
          <w:sz w:val="32"/>
          <w:szCs w:val="32"/>
        </w:rPr>
        <w:t>响应表</w:t>
      </w:r>
    </w:p>
    <w:tbl>
      <w:tblPr>
        <w:tblStyle w:val="26"/>
        <w:tblW w:w="10457" w:type="dxa"/>
        <w:tblInd w:w="-79" w:type="dxa"/>
        <w:tblLayout w:type="fixed"/>
        <w:tblCellMar>
          <w:top w:w="0" w:type="dxa"/>
          <w:left w:w="108" w:type="dxa"/>
          <w:bottom w:w="0" w:type="dxa"/>
          <w:right w:w="108" w:type="dxa"/>
        </w:tblCellMar>
      </w:tblPr>
      <w:tblGrid>
        <w:gridCol w:w="724"/>
        <w:gridCol w:w="1569"/>
        <w:gridCol w:w="3115"/>
        <w:gridCol w:w="2866"/>
        <w:gridCol w:w="2183"/>
      </w:tblGrid>
      <w:tr w14:paraId="7F17D82E">
        <w:tblPrEx>
          <w:tblCellMar>
            <w:top w:w="0" w:type="dxa"/>
            <w:left w:w="108" w:type="dxa"/>
            <w:bottom w:w="0" w:type="dxa"/>
            <w:right w:w="108" w:type="dxa"/>
          </w:tblCellMar>
        </w:tblPrEx>
        <w:trPr>
          <w:trHeight w:val="1036"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6D123E92">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序号</w:t>
            </w:r>
          </w:p>
        </w:tc>
        <w:tc>
          <w:tcPr>
            <w:tcW w:w="1569" w:type="dxa"/>
            <w:tcBorders>
              <w:top w:val="single" w:color="auto" w:sz="4" w:space="0"/>
              <w:left w:val="nil"/>
              <w:bottom w:val="single" w:color="auto" w:sz="4" w:space="0"/>
              <w:right w:val="single" w:color="auto" w:sz="4" w:space="0"/>
            </w:tcBorders>
            <w:shd w:val="clear" w:color="auto" w:fill="auto"/>
            <w:vAlign w:val="center"/>
          </w:tcPr>
          <w:p w14:paraId="507101D6">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项目</w:t>
            </w:r>
          </w:p>
        </w:tc>
        <w:tc>
          <w:tcPr>
            <w:tcW w:w="3115" w:type="dxa"/>
            <w:tcBorders>
              <w:top w:val="single" w:color="auto" w:sz="4" w:space="0"/>
              <w:left w:val="nil"/>
              <w:bottom w:val="single" w:color="auto" w:sz="4" w:space="0"/>
              <w:right w:val="single" w:color="auto" w:sz="4" w:space="0"/>
            </w:tcBorders>
            <w:shd w:val="clear" w:color="auto" w:fill="auto"/>
            <w:vAlign w:val="center"/>
          </w:tcPr>
          <w:p w14:paraId="03118B69">
            <w:pPr>
              <w:widowControl/>
              <w:spacing w:line="560" w:lineRule="exact"/>
              <w:jc w:val="center"/>
              <w:rPr>
                <w:rFonts w:ascii="Times New Roman" w:hAnsi="Times New Roman" w:eastAsia="宋体" w:cs="Times New Roman"/>
                <w:kern w:val="0"/>
                <w:sz w:val="21"/>
                <w:szCs w:val="21"/>
              </w:rPr>
            </w:pPr>
            <w:r>
              <w:rPr>
                <w:rStyle w:val="66"/>
                <w:rFonts w:hint="default"/>
                <w:sz w:val="21"/>
                <w:szCs w:val="21"/>
                <w:lang w:bidi="ar"/>
              </w:rPr>
              <w:t>技术性能指标</w:t>
            </w:r>
            <w:r>
              <w:rPr>
                <w:rStyle w:val="66"/>
                <w:rFonts w:hint="eastAsia"/>
                <w:sz w:val="21"/>
                <w:szCs w:val="21"/>
                <w:lang w:val="en-US" w:eastAsia="zh-CN" w:bidi="ar"/>
              </w:rPr>
              <w:t>要求</w:t>
            </w:r>
          </w:p>
        </w:tc>
        <w:tc>
          <w:tcPr>
            <w:tcW w:w="2866" w:type="dxa"/>
            <w:tcBorders>
              <w:top w:val="single" w:color="auto" w:sz="4" w:space="0"/>
              <w:left w:val="nil"/>
              <w:bottom w:val="single" w:color="auto" w:sz="4" w:space="0"/>
              <w:right w:val="single" w:color="auto" w:sz="4" w:space="0"/>
            </w:tcBorders>
            <w:shd w:val="clear" w:color="auto" w:fill="auto"/>
            <w:vAlign w:val="center"/>
          </w:tcPr>
          <w:p w14:paraId="3CFFC4C5">
            <w:pPr>
              <w:widowControl/>
              <w:spacing w:line="560" w:lineRule="exact"/>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比选申请人设备技术</w:t>
            </w:r>
          </w:p>
          <w:p w14:paraId="0D77552B">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性能指标描述</w:t>
            </w:r>
          </w:p>
        </w:tc>
        <w:tc>
          <w:tcPr>
            <w:tcW w:w="2183" w:type="dxa"/>
            <w:tcBorders>
              <w:top w:val="single" w:color="auto" w:sz="4" w:space="0"/>
              <w:left w:val="nil"/>
              <w:bottom w:val="single" w:color="auto" w:sz="4" w:space="0"/>
              <w:right w:val="single" w:color="auto" w:sz="4" w:space="0"/>
            </w:tcBorders>
            <w:shd w:val="clear" w:color="auto" w:fill="auto"/>
            <w:vAlign w:val="center"/>
          </w:tcPr>
          <w:p w14:paraId="7B315F76">
            <w:pPr>
              <w:widowControl/>
              <w:spacing w:line="560" w:lineRule="exact"/>
              <w:jc w:val="center"/>
              <w:rPr>
                <w:rFonts w:hint="default" w:ascii="Times New Roman" w:hAnsi="Times New Roman" w:eastAsia="宋体" w:cs="Times New Roman"/>
                <w:kern w:val="0"/>
                <w:sz w:val="21"/>
                <w:szCs w:val="21"/>
                <w:lang w:val="en-US"/>
              </w:rPr>
            </w:pPr>
            <w:r>
              <w:rPr>
                <w:rFonts w:hint="eastAsia" w:ascii="Times New Roman" w:hAnsi="Times New Roman" w:eastAsia="宋体" w:cs="Times New Roman"/>
                <w:kern w:val="0"/>
                <w:sz w:val="21"/>
                <w:szCs w:val="21"/>
                <w:lang w:val="en-US" w:eastAsia="zh-CN"/>
              </w:rPr>
              <w:t>是否响应（填是/否）</w:t>
            </w:r>
          </w:p>
        </w:tc>
      </w:tr>
      <w:tr w14:paraId="75D6DDAB">
        <w:tblPrEx>
          <w:tblCellMar>
            <w:top w:w="0" w:type="dxa"/>
            <w:left w:w="108" w:type="dxa"/>
            <w:bottom w:w="0" w:type="dxa"/>
            <w:right w:w="108" w:type="dxa"/>
          </w:tblCellMar>
        </w:tblPrEx>
        <w:trPr>
          <w:trHeight w:val="59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AACFF99">
            <w:pPr>
              <w:widowControl/>
              <w:spacing w:line="240" w:lineRule="auto"/>
              <w:jc w:val="center"/>
              <w:textAlignment w:val="center"/>
              <w:rPr>
                <w:rStyle w:val="66"/>
                <w:rFonts w:ascii="宋体" w:hAnsi="宋体" w:cs="宋体"/>
                <w:sz w:val="21"/>
                <w:szCs w:val="21"/>
                <w:lang w:bidi="ar"/>
              </w:rPr>
            </w:pPr>
            <w:r>
              <w:rPr>
                <w:rStyle w:val="66"/>
                <w:rFonts w:ascii="宋体" w:hAnsi="宋体" w:cs="宋体"/>
                <w:sz w:val="21"/>
                <w:szCs w:val="21"/>
                <w:lang w:bidi="ar"/>
              </w:rPr>
              <w:t>1</w:t>
            </w:r>
          </w:p>
        </w:tc>
        <w:tc>
          <w:tcPr>
            <w:tcW w:w="1569" w:type="dxa"/>
            <w:tcBorders>
              <w:top w:val="nil"/>
              <w:left w:val="nil"/>
              <w:bottom w:val="single" w:color="auto" w:sz="4" w:space="0"/>
              <w:right w:val="single" w:color="auto" w:sz="4" w:space="0"/>
            </w:tcBorders>
            <w:shd w:val="clear" w:color="auto" w:fill="auto"/>
            <w:vAlign w:val="center"/>
          </w:tcPr>
          <w:p w14:paraId="20A1DE34">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工作温度</w:t>
            </w:r>
          </w:p>
        </w:tc>
        <w:tc>
          <w:tcPr>
            <w:tcW w:w="3115" w:type="dxa"/>
            <w:tcBorders>
              <w:top w:val="nil"/>
              <w:left w:val="nil"/>
              <w:bottom w:val="single" w:color="auto" w:sz="4" w:space="0"/>
              <w:right w:val="single" w:color="auto" w:sz="4" w:space="0"/>
            </w:tcBorders>
            <w:shd w:val="clear" w:color="auto" w:fill="auto"/>
            <w:vAlign w:val="center"/>
          </w:tcPr>
          <w:p w14:paraId="3D50C166">
            <w:pPr>
              <w:widowControl/>
              <w:jc w:val="left"/>
              <w:textAlignment w:val="center"/>
              <w:rPr>
                <w:rStyle w:val="66"/>
                <w:rFonts w:ascii="宋体" w:hAnsi="宋体" w:eastAsia="宋体" w:cs="宋体"/>
                <w:kern w:val="0"/>
                <w:sz w:val="21"/>
                <w:szCs w:val="21"/>
                <w:lang w:bidi="ar"/>
              </w:rPr>
            </w:pPr>
            <w:r>
              <w:rPr>
                <w:rStyle w:val="66"/>
                <w:rFonts w:hint="default"/>
                <w:sz w:val="21"/>
                <w:szCs w:val="21"/>
                <w:lang w:bidi="ar"/>
              </w:rPr>
              <w:t>-25～+65℃（55℃以上降额）</w:t>
            </w:r>
          </w:p>
        </w:tc>
        <w:tc>
          <w:tcPr>
            <w:tcW w:w="2866" w:type="dxa"/>
            <w:tcBorders>
              <w:top w:val="nil"/>
              <w:left w:val="nil"/>
              <w:bottom w:val="single" w:color="auto" w:sz="4" w:space="0"/>
              <w:right w:val="single" w:color="auto" w:sz="4" w:space="0"/>
            </w:tcBorders>
            <w:shd w:val="clear" w:color="auto" w:fill="auto"/>
            <w:vAlign w:val="center"/>
          </w:tcPr>
          <w:p w14:paraId="6D416DD4">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　</w:t>
            </w:r>
          </w:p>
        </w:tc>
        <w:tc>
          <w:tcPr>
            <w:tcW w:w="2183" w:type="dxa"/>
            <w:tcBorders>
              <w:top w:val="nil"/>
              <w:left w:val="nil"/>
              <w:bottom w:val="single" w:color="auto" w:sz="4" w:space="0"/>
              <w:right w:val="single" w:color="auto" w:sz="4" w:space="0"/>
            </w:tcBorders>
            <w:shd w:val="clear" w:color="auto" w:fill="auto"/>
            <w:vAlign w:val="center"/>
          </w:tcPr>
          <w:p w14:paraId="49277E86">
            <w:pPr>
              <w:widowControl/>
              <w:spacing w:line="560" w:lineRule="exact"/>
              <w:jc w:val="center"/>
              <w:rPr>
                <w:rFonts w:hint="eastAsia" w:ascii="Times New Roman" w:hAnsi="Times New Roman" w:eastAsia="宋体" w:cs="Times New Roman"/>
                <w:kern w:val="0"/>
                <w:sz w:val="21"/>
                <w:szCs w:val="21"/>
              </w:rPr>
            </w:pPr>
          </w:p>
        </w:tc>
      </w:tr>
      <w:tr w14:paraId="66F616D4">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1F21A17">
            <w:pPr>
              <w:widowControl/>
              <w:spacing w:line="240" w:lineRule="auto"/>
              <w:jc w:val="center"/>
              <w:textAlignment w:val="center"/>
              <w:rPr>
                <w:rStyle w:val="66"/>
                <w:rFonts w:ascii="宋体" w:hAnsi="宋体" w:cs="宋体"/>
                <w:sz w:val="21"/>
                <w:szCs w:val="21"/>
                <w:lang w:bidi="ar"/>
              </w:rPr>
            </w:pPr>
            <w:r>
              <w:rPr>
                <w:rStyle w:val="66"/>
                <w:rFonts w:ascii="宋体" w:hAnsi="宋体" w:cs="宋体"/>
                <w:sz w:val="21"/>
                <w:szCs w:val="21"/>
                <w:lang w:bidi="ar"/>
              </w:rPr>
              <w:t>2</w:t>
            </w:r>
          </w:p>
        </w:tc>
        <w:tc>
          <w:tcPr>
            <w:tcW w:w="1569" w:type="dxa"/>
            <w:tcBorders>
              <w:top w:val="nil"/>
              <w:left w:val="nil"/>
              <w:bottom w:val="single" w:color="auto" w:sz="4" w:space="0"/>
              <w:right w:val="single" w:color="auto" w:sz="4" w:space="0"/>
            </w:tcBorders>
            <w:shd w:val="clear" w:color="auto" w:fill="auto"/>
            <w:vAlign w:val="center"/>
          </w:tcPr>
          <w:p w14:paraId="577A2F5F">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海拔高度</w:t>
            </w:r>
          </w:p>
        </w:tc>
        <w:tc>
          <w:tcPr>
            <w:tcW w:w="3115" w:type="dxa"/>
            <w:tcBorders>
              <w:top w:val="nil"/>
              <w:left w:val="nil"/>
              <w:bottom w:val="single" w:color="auto" w:sz="4" w:space="0"/>
              <w:right w:val="single" w:color="auto" w:sz="4" w:space="0"/>
            </w:tcBorders>
            <w:shd w:val="clear" w:color="auto" w:fill="auto"/>
            <w:vAlign w:val="center"/>
          </w:tcPr>
          <w:p w14:paraId="72B8B252">
            <w:pPr>
              <w:widowControl/>
              <w:jc w:val="left"/>
              <w:textAlignment w:val="center"/>
              <w:rPr>
                <w:rStyle w:val="66"/>
                <w:rFonts w:ascii="宋体" w:hAnsi="宋体" w:eastAsia="宋体" w:cs="宋体"/>
                <w:kern w:val="0"/>
                <w:sz w:val="21"/>
                <w:szCs w:val="21"/>
                <w:lang w:bidi="ar"/>
              </w:rPr>
            </w:pPr>
            <w:r>
              <w:rPr>
                <w:rStyle w:val="66"/>
                <w:rFonts w:hint="default"/>
                <w:sz w:val="21"/>
                <w:szCs w:val="21"/>
                <w:lang w:bidi="ar"/>
              </w:rPr>
              <w:t>&lt;2000米，2000米以上降额使用</w:t>
            </w:r>
          </w:p>
        </w:tc>
        <w:tc>
          <w:tcPr>
            <w:tcW w:w="2866" w:type="dxa"/>
            <w:tcBorders>
              <w:top w:val="nil"/>
              <w:left w:val="nil"/>
              <w:bottom w:val="single" w:color="auto" w:sz="4" w:space="0"/>
              <w:right w:val="single" w:color="auto" w:sz="4" w:space="0"/>
            </w:tcBorders>
            <w:shd w:val="clear" w:color="auto" w:fill="auto"/>
            <w:vAlign w:val="center"/>
          </w:tcPr>
          <w:p w14:paraId="6324FD6F">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　</w:t>
            </w:r>
          </w:p>
        </w:tc>
        <w:tc>
          <w:tcPr>
            <w:tcW w:w="2183" w:type="dxa"/>
            <w:tcBorders>
              <w:top w:val="nil"/>
              <w:left w:val="nil"/>
              <w:bottom w:val="single" w:color="auto" w:sz="4" w:space="0"/>
              <w:right w:val="single" w:color="auto" w:sz="4" w:space="0"/>
            </w:tcBorders>
            <w:shd w:val="clear" w:color="auto" w:fill="auto"/>
            <w:vAlign w:val="center"/>
          </w:tcPr>
          <w:p w14:paraId="01235790">
            <w:pPr>
              <w:widowControl/>
              <w:spacing w:line="560" w:lineRule="exact"/>
              <w:jc w:val="center"/>
              <w:rPr>
                <w:rFonts w:hint="eastAsia" w:ascii="Times New Roman" w:hAnsi="Times New Roman" w:eastAsia="宋体" w:cs="Times New Roman"/>
                <w:kern w:val="0"/>
                <w:sz w:val="21"/>
                <w:szCs w:val="21"/>
              </w:rPr>
            </w:pPr>
          </w:p>
        </w:tc>
      </w:tr>
      <w:tr w14:paraId="6CF1F4E1">
        <w:tblPrEx>
          <w:tblCellMar>
            <w:top w:w="0" w:type="dxa"/>
            <w:left w:w="108" w:type="dxa"/>
            <w:bottom w:w="0" w:type="dxa"/>
            <w:right w:w="108" w:type="dxa"/>
          </w:tblCellMar>
        </w:tblPrEx>
        <w:trPr>
          <w:trHeight w:val="551"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C33E28D">
            <w:pPr>
              <w:widowControl/>
              <w:jc w:val="center"/>
              <w:textAlignment w:val="center"/>
              <w:rPr>
                <w:rStyle w:val="66"/>
                <w:rFonts w:hint="eastAsia" w:ascii="宋体" w:hAnsi="宋体" w:eastAsia="宋体" w:cs="宋体"/>
                <w:szCs w:val="21"/>
                <w:lang w:bidi="ar"/>
              </w:rPr>
            </w:pPr>
            <w:r>
              <w:rPr>
                <w:rStyle w:val="66"/>
                <w:rFonts w:hint="eastAsia" w:ascii="宋体" w:hAnsi="宋体" w:cs="宋体"/>
                <w:szCs w:val="21"/>
                <w:lang w:val="en-US" w:eastAsia="zh-CN" w:bidi="ar"/>
              </w:rPr>
              <w:t>3</w:t>
            </w:r>
          </w:p>
        </w:tc>
        <w:tc>
          <w:tcPr>
            <w:tcW w:w="1569" w:type="dxa"/>
            <w:tcBorders>
              <w:top w:val="nil"/>
              <w:left w:val="nil"/>
              <w:bottom w:val="single" w:color="auto" w:sz="4" w:space="0"/>
              <w:right w:val="single" w:color="auto" w:sz="4" w:space="0"/>
            </w:tcBorders>
            <w:shd w:val="clear" w:color="auto" w:fill="auto"/>
            <w:vAlign w:val="center"/>
          </w:tcPr>
          <w:p w14:paraId="2F3B74B8">
            <w:pPr>
              <w:widowControl/>
              <w:jc w:val="left"/>
              <w:textAlignment w:val="center"/>
              <w:rPr>
                <w:rStyle w:val="66"/>
                <w:rFonts w:ascii="宋体" w:hAnsi="宋体" w:cs="宋体"/>
                <w:szCs w:val="21"/>
                <w:lang w:bidi="ar"/>
              </w:rPr>
            </w:pPr>
            <w:r>
              <w:rPr>
                <w:rStyle w:val="66"/>
                <w:rFonts w:hint="default" w:ascii="宋体" w:hAnsi="宋体" w:eastAsia="宋体" w:cs="宋体"/>
                <w:sz w:val="21"/>
                <w:szCs w:val="21"/>
                <w:lang w:bidi="ar"/>
              </w:rPr>
              <w:t>防护等级</w:t>
            </w:r>
          </w:p>
        </w:tc>
        <w:tc>
          <w:tcPr>
            <w:tcW w:w="3115" w:type="dxa"/>
            <w:tcBorders>
              <w:top w:val="nil"/>
              <w:left w:val="nil"/>
              <w:bottom w:val="single" w:color="auto" w:sz="4" w:space="0"/>
              <w:right w:val="single" w:color="auto" w:sz="4" w:space="0"/>
            </w:tcBorders>
            <w:shd w:val="clear" w:color="auto" w:fill="auto"/>
            <w:vAlign w:val="center"/>
          </w:tcPr>
          <w:p w14:paraId="5EF2C53D">
            <w:pPr>
              <w:widowControl/>
              <w:jc w:val="left"/>
              <w:textAlignment w:val="center"/>
              <w:rPr>
                <w:rFonts w:ascii="Times New Roman" w:hAnsi="Times New Roman" w:eastAsia="宋体" w:cs="Times New Roman"/>
                <w:szCs w:val="21"/>
              </w:rPr>
            </w:pPr>
            <w:r>
              <w:rPr>
                <w:rStyle w:val="66"/>
                <w:rFonts w:hint="default"/>
                <w:sz w:val="21"/>
                <w:szCs w:val="21"/>
                <w:lang w:bidi="ar"/>
              </w:rPr>
              <w:t>IP54</w:t>
            </w:r>
          </w:p>
        </w:tc>
        <w:tc>
          <w:tcPr>
            <w:tcW w:w="2866" w:type="dxa"/>
            <w:tcBorders>
              <w:top w:val="nil"/>
              <w:left w:val="nil"/>
              <w:bottom w:val="single" w:color="auto" w:sz="4" w:space="0"/>
              <w:right w:val="single" w:color="auto" w:sz="4" w:space="0"/>
            </w:tcBorders>
            <w:shd w:val="clear" w:color="auto" w:fill="auto"/>
            <w:vAlign w:val="center"/>
          </w:tcPr>
          <w:p w14:paraId="44D0C353">
            <w:pPr>
              <w:rPr>
                <w:rFonts w:ascii="Times New Roman" w:hAnsi="Times New Roman" w:eastAsia="宋体" w:cs="Times New Roman"/>
                <w:szCs w:val="21"/>
              </w:rPr>
            </w:pPr>
          </w:p>
        </w:tc>
        <w:tc>
          <w:tcPr>
            <w:tcW w:w="2183" w:type="dxa"/>
            <w:tcBorders>
              <w:top w:val="nil"/>
              <w:left w:val="nil"/>
              <w:bottom w:val="single" w:color="auto" w:sz="4" w:space="0"/>
              <w:right w:val="single" w:color="auto" w:sz="4" w:space="0"/>
            </w:tcBorders>
            <w:shd w:val="clear" w:color="auto" w:fill="auto"/>
            <w:vAlign w:val="center"/>
          </w:tcPr>
          <w:p w14:paraId="4CE1C879">
            <w:pPr>
              <w:rPr>
                <w:rFonts w:ascii="Times New Roman" w:hAnsi="Times New Roman" w:eastAsia="宋体" w:cs="Times New Roman"/>
                <w:szCs w:val="21"/>
              </w:rPr>
            </w:pPr>
          </w:p>
        </w:tc>
      </w:tr>
      <w:tr w14:paraId="37498346">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321B4D8">
            <w:pPr>
              <w:widowControl/>
              <w:spacing w:line="240" w:lineRule="auto"/>
              <w:jc w:val="center"/>
              <w:textAlignment w:val="center"/>
              <w:rPr>
                <w:rStyle w:val="66"/>
                <w:rFonts w:ascii="宋体" w:hAnsi="宋体" w:eastAsia="宋体" w:cs="宋体"/>
                <w:sz w:val="21"/>
                <w:szCs w:val="21"/>
                <w:lang w:bidi="ar"/>
              </w:rPr>
            </w:pPr>
            <w:r>
              <w:rPr>
                <w:rStyle w:val="66"/>
                <w:rFonts w:hint="eastAsia" w:ascii="宋体" w:hAnsi="宋体" w:cs="宋体"/>
                <w:sz w:val="21"/>
                <w:szCs w:val="21"/>
                <w:lang w:eastAsia="zh-CN" w:bidi="ar"/>
              </w:rPr>
              <w:t>4</w:t>
            </w:r>
          </w:p>
        </w:tc>
        <w:tc>
          <w:tcPr>
            <w:tcW w:w="1569" w:type="dxa"/>
            <w:tcBorders>
              <w:top w:val="nil"/>
              <w:left w:val="nil"/>
              <w:bottom w:val="single" w:color="auto" w:sz="4" w:space="0"/>
              <w:right w:val="single" w:color="auto" w:sz="4" w:space="0"/>
            </w:tcBorders>
            <w:shd w:val="clear" w:color="auto" w:fill="auto"/>
            <w:vAlign w:val="center"/>
          </w:tcPr>
          <w:p w14:paraId="29F03E1E">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噪声</w:t>
            </w:r>
          </w:p>
        </w:tc>
        <w:tc>
          <w:tcPr>
            <w:tcW w:w="3115" w:type="dxa"/>
            <w:tcBorders>
              <w:top w:val="nil"/>
              <w:left w:val="nil"/>
              <w:bottom w:val="single" w:color="auto" w:sz="4" w:space="0"/>
              <w:right w:val="single" w:color="auto" w:sz="4" w:space="0"/>
            </w:tcBorders>
            <w:shd w:val="clear" w:color="auto" w:fill="auto"/>
            <w:vAlign w:val="center"/>
          </w:tcPr>
          <w:p w14:paraId="4C70C141">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 xml:space="preserve">≤ </w:t>
            </w:r>
            <w:r>
              <w:rPr>
                <w:rStyle w:val="66"/>
                <w:rFonts w:hint="eastAsia"/>
                <w:sz w:val="21"/>
                <w:szCs w:val="21"/>
                <w:lang w:val="en-US" w:eastAsia="zh-CN" w:bidi="ar"/>
              </w:rPr>
              <w:t>65</w:t>
            </w:r>
            <w:r>
              <w:rPr>
                <w:rStyle w:val="66"/>
                <w:rFonts w:hint="default"/>
                <w:sz w:val="21"/>
                <w:szCs w:val="21"/>
                <w:lang w:bidi="ar"/>
              </w:rPr>
              <w:t>dB</w:t>
            </w:r>
          </w:p>
        </w:tc>
        <w:tc>
          <w:tcPr>
            <w:tcW w:w="2866" w:type="dxa"/>
            <w:tcBorders>
              <w:top w:val="nil"/>
              <w:left w:val="nil"/>
              <w:bottom w:val="single" w:color="auto" w:sz="4" w:space="0"/>
              <w:right w:val="single" w:color="auto" w:sz="4" w:space="0"/>
            </w:tcBorders>
            <w:shd w:val="clear" w:color="auto" w:fill="auto"/>
            <w:vAlign w:val="center"/>
          </w:tcPr>
          <w:p w14:paraId="6935D8B0">
            <w:pPr>
              <w:widowControl/>
              <w:spacing w:line="560" w:lineRule="exact"/>
              <w:jc w:val="center"/>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779ADAC">
            <w:pPr>
              <w:widowControl/>
              <w:spacing w:line="560" w:lineRule="exact"/>
              <w:jc w:val="center"/>
              <w:rPr>
                <w:rFonts w:ascii="Times New Roman" w:hAnsi="Times New Roman" w:eastAsia="宋体" w:cs="Times New Roman"/>
                <w:kern w:val="0"/>
                <w:sz w:val="21"/>
                <w:szCs w:val="21"/>
              </w:rPr>
            </w:pPr>
          </w:p>
        </w:tc>
      </w:tr>
      <w:tr w14:paraId="0DB06BDB">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599EF9A">
            <w:pPr>
              <w:widowControl/>
              <w:spacing w:line="240" w:lineRule="auto"/>
              <w:jc w:val="center"/>
              <w:textAlignment w:val="center"/>
              <w:rPr>
                <w:rStyle w:val="66"/>
                <w:rFonts w:ascii="宋体" w:hAnsi="宋体" w:eastAsia="宋体" w:cs="宋体"/>
                <w:sz w:val="21"/>
                <w:szCs w:val="21"/>
                <w:lang w:bidi="ar"/>
              </w:rPr>
            </w:pPr>
            <w:r>
              <w:rPr>
                <w:rStyle w:val="66"/>
                <w:rFonts w:hint="eastAsia" w:ascii="宋体" w:hAnsi="宋体" w:cs="宋体"/>
                <w:sz w:val="21"/>
                <w:szCs w:val="21"/>
                <w:lang w:eastAsia="zh-CN" w:bidi="ar"/>
              </w:rPr>
              <w:t>5</w:t>
            </w:r>
          </w:p>
        </w:tc>
        <w:tc>
          <w:tcPr>
            <w:tcW w:w="1569" w:type="dxa"/>
            <w:tcBorders>
              <w:top w:val="nil"/>
              <w:left w:val="nil"/>
              <w:bottom w:val="single" w:color="auto" w:sz="4" w:space="0"/>
              <w:right w:val="single" w:color="auto" w:sz="4" w:space="0"/>
            </w:tcBorders>
            <w:shd w:val="clear" w:color="auto" w:fill="auto"/>
            <w:vAlign w:val="center"/>
          </w:tcPr>
          <w:p w14:paraId="1C86CD1B">
            <w:pPr>
              <w:widowControl/>
              <w:jc w:val="left"/>
              <w:textAlignment w:val="center"/>
              <w:rPr>
                <w:rStyle w:val="66"/>
                <w:rFonts w:ascii="宋体" w:hAnsi="宋体" w:cs="宋体"/>
                <w:sz w:val="21"/>
                <w:szCs w:val="21"/>
                <w:lang w:bidi="ar"/>
              </w:rPr>
            </w:pPr>
            <w:r>
              <w:rPr>
                <w:rStyle w:val="66"/>
                <w:rFonts w:hint="default" w:ascii="宋体" w:hAnsi="宋体" w:eastAsia="宋体" w:cs="宋体"/>
                <w:sz w:val="21"/>
                <w:szCs w:val="21"/>
                <w:lang w:bidi="ar"/>
              </w:rPr>
              <w:t>输入制式</w:t>
            </w:r>
          </w:p>
        </w:tc>
        <w:tc>
          <w:tcPr>
            <w:tcW w:w="3115" w:type="dxa"/>
            <w:tcBorders>
              <w:top w:val="nil"/>
              <w:left w:val="nil"/>
              <w:bottom w:val="single" w:color="auto" w:sz="4" w:space="0"/>
              <w:right w:val="single" w:color="auto" w:sz="4" w:space="0"/>
            </w:tcBorders>
            <w:shd w:val="clear" w:color="auto" w:fill="auto"/>
            <w:vAlign w:val="center"/>
          </w:tcPr>
          <w:p w14:paraId="66603D24">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交流三相五线制</w:t>
            </w:r>
          </w:p>
        </w:tc>
        <w:tc>
          <w:tcPr>
            <w:tcW w:w="2866" w:type="dxa"/>
            <w:tcBorders>
              <w:top w:val="nil"/>
              <w:left w:val="nil"/>
              <w:bottom w:val="single" w:color="auto" w:sz="4" w:space="0"/>
              <w:right w:val="single" w:color="auto" w:sz="4" w:space="0"/>
            </w:tcBorders>
            <w:shd w:val="clear" w:color="auto" w:fill="auto"/>
            <w:vAlign w:val="center"/>
          </w:tcPr>
          <w:p w14:paraId="76F122A9">
            <w:pPr>
              <w:widowControl/>
              <w:spacing w:line="5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　</w:t>
            </w:r>
          </w:p>
        </w:tc>
        <w:tc>
          <w:tcPr>
            <w:tcW w:w="2183" w:type="dxa"/>
            <w:tcBorders>
              <w:top w:val="nil"/>
              <w:left w:val="nil"/>
              <w:bottom w:val="single" w:color="auto" w:sz="4" w:space="0"/>
              <w:right w:val="single" w:color="auto" w:sz="4" w:space="0"/>
            </w:tcBorders>
            <w:shd w:val="clear" w:color="auto" w:fill="auto"/>
            <w:vAlign w:val="center"/>
          </w:tcPr>
          <w:p w14:paraId="5CB93853">
            <w:pPr>
              <w:widowControl/>
              <w:spacing w:line="560" w:lineRule="exact"/>
              <w:jc w:val="center"/>
              <w:rPr>
                <w:rFonts w:hint="eastAsia" w:ascii="Times New Roman" w:hAnsi="Times New Roman" w:eastAsia="宋体" w:cs="Times New Roman"/>
                <w:kern w:val="0"/>
                <w:sz w:val="21"/>
                <w:szCs w:val="21"/>
              </w:rPr>
            </w:pPr>
          </w:p>
        </w:tc>
      </w:tr>
      <w:tr w14:paraId="7C7CD98A">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63F1662">
            <w:pPr>
              <w:widowControl/>
              <w:spacing w:line="240" w:lineRule="auto"/>
              <w:jc w:val="center"/>
              <w:textAlignment w:val="center"/>
              <w:rPr>
                <w:rStyle w:val="66"/>
                <w:rFonts w:hint="eastAsia" w:ascii="宋体" w:hAnsi="宋体" w:eastAsia="宋体" w:cs="宋体"/>
                <w:sz w:val="21"/>
                <w:szCs w:val="21"/>
                <w:lang w:bidi="ar"/>
              </w:rPr>
            </w:pPr>
            <w:r>
              <w:rPr>
                <w:rStyle w:val="66"/>
                <w:rFonts w:hint="eastAsia" w:ascii="宋体" w:hAnsi="宋体" w:cs="宋体"/>
                <w:sz w:val="21"/>
                <w:szCs w:val="21"/>
                <w:lang w:eastAsia="zh-CN" w:bidi="ar"/>
              </w:rPr>
              <w:t>6</w:t>
            </w:r>
          </w:p>
        </w:tc>
        <w:tc>
          <w:tcPr>
            <w:tcW w:w="1569" w:type="dxa"/>
            <w:tcBorders>
              <w:top w:val="nil"/>
              <w:left w:val="nil"/>
              <w:bottom w:val="single" w:color="auto" w:sz="4" w:space="0"/>
              <w:right w:val="single" w:color="auto" w:sz="4" w:space="0"/>
            </w:tcBorders>
            <w:shd w:val="clear" w:color="auto" w:fill="auto"/>
            <w:vAlign w:val="center"/>
          </w:tcPr>
          <w:p w14:paraId="0373A711">
            <w:pPr>
              <w:widowControl/>
              <w:jc w:val="left"/>
              <w:textAlignment w:val="center"/>
              <w:rPr>
                <w:rStyle w:val="66"/>
                <w:rFonts w:ascii="宋体" w:hAnsi="宋体" w:cs="宋体"/>
                <w:sz w:val="21"/>
                <w:szCs w:val="21"/>
                <w:lang w:bidi="ar"/>
              </w:rPr>
            </w:pPr>
            <w:r>
              <w:rPr>
                <w:rStyle w:val="66"/>
                <w:rFonts w:hint="eastAsia" w:ascii="宋体" w:hAnsi="宋体" w:eastAsia="宋体" w:cs="宋体"/>
                <w:sz w:val="21"/>
                <w:szCs w:val="21"/>
                <w:lang w:bidi="ar"/>
              </w:rPr>
              <w:t>进线方式</w:t>
            </w:r>
          </w:p>
        </w:tc>
        <w:tc>
          <w:tcPr>
            <w:tcW w:w="3115" w:type="dxa"/>
            <w:tcBorders>
              <w:top w:val="nil"/>
              <w:left w:val="nil"/>
              <w:bottom w:val="single" w:color="auto" w:sz="4" w:space="0"/>
              <w:right w:val="single" w:color="auto" w:sz="4" w:space="0"/>
            </w:tcBorders>
            <w:shd w:val="clear" w:color="auto" w:fill="auto"/>
            <w:vAlign w:val="center"/>
          </w:tcPr>
          <w:p w14:paraId="362B14D1">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下进线</w:t>
            </w:r>
          </w:p>
        </w:tc>
        <w:tc>
          <w:tcPr>
            <w:tcW w:w="2866" w:type="dxa"/>
            <w:tcBorders>
              <w:top w:val="nil"/>
              <w:left w:val="nil"/>
              <w:bottom w:val="single" w:color="auto" w:sz="4" w:space="0"/>
              <w:right w:val="single" w:color="auto" w:sz="4" w:space="0"/>
            </w:tcBorders>
            <w:shd w:val="clear" w:color="auto" w:fill="auto"/>
            <w:vAlign w:val="center"/>
          </w:tcPr>
          <w:p w14:paraId="2ACB182D">
            <w:pPr>
              <w:widowControl/>
              <w:spacing w:line="560" w:lineRule="exact"/>
              <w:jc w:val="center"/>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5D2192D">
            <w:pPr>
              <w:widowControl/>
              <w:spacing w:line="560" w:lineRule="exact"/>
              <w:jc w:val="center"/>
              <w:rPr>
                <w:rFonts w:ascii="Times New Roman" w:hAnsi="Times New Roman" w:eastAsia="宋体" w:cs="Times New Roman"/>
                <w:kern w:val="0"/>
                <w:sz w:val="21"/>
                <w:szCs w:val="21"/>
              </w:rPr>
            </w:pPr>
          </w:p>
        </w:tc>
      </w:tr>
      <w:tr w14:paraId="2074C888">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1FDEF27">
            <w:pPr>
              <w:widowControl/>
              <w:spacing w:line="240" w:lineRule="auto"/>
              <w:jc w:val="center"/>
              <w:textAlignment w:val="center"/>
              <w:rPr>
                <w:rStyle w:val="66"/>
                <w:rFonts w:ascii="宋体" w:hAnsi="宋体" w:eastAsia="宋体" w:cs="宋体"/>
                <w:sz w:val="21"/>
                <w:szCs w:val="21"/>
                <w:lang w:bidi="ar"/>
              </w:rPr>
            </w:pPr>
            <w:r>
              <w:rPr>
                <w:rStyle w:val="66"/>
                <w:rFonts w:hint="eastAsia" w:ascii="宋体" w:hAnsi="宋体" w:cs="宋体"/>
                <w:sz w:val="21"/>
                <w:szCs w:val="21"/>
                <w:lang w:eastAsia="zh-CN" w:bidi="ar"/>
              </w:rPr>
              <w:t>7</w:t>
            </w:r>
          </w:p>
        </w:tc>
        <w:tc>
          <w:tcPr>
            <w:tcW w:w="1569" w:type="dxa"/>
            <w:tcBorders>
              <w:top w:val="nil"/>
              <w:left w:val="nil"/>
              <w:bottom w:val="single" w:color="auto" w:sz="4" w:space="0"/>
              <w:right w:val="single" w:color="auto" w:sz="4" w:space="0"/>
            </w:tcBorders>
            <w:shd w:val="clear" w:color="auto" w:fill="auto"/>
            <w:vAlign w:val="center"/>
          </w:tcPr>
          <w:p w14:paraId="4C8C83B4">
            <w:pPr>
              <w:widowControl/>
              <w:jc w:val="left"/>
              <w:textAlignment w:val="center"/>
              <w:rPr>
                <w:rStyle w:val="66"/>
                <w:rFonts w:ascii="宋体" w:hAnsi="宋体" w:cs="宋体"/>
                <w:sz w:val="21"/>
                <w:szCs w:val="21"/>
                <w:lang w:bidi="ar"/>
              </w:rPr>
            </w:pPr>
            <w:r>
              <w:rPr>
                <w:rStyle w:val="66"/>
                <w:rFonts w:hint="eastAsia" w:ascii="宋体" w:hAnsi="宋体" w:eastAsia="宋体" w:cs="宋体"/>
                <w:sz w:val="21"/>
                <w:szCs w:val="21"/>
                <w:lang w:bidi="ar"/>
              </w:rPr>
              <w:t>输入电压</w:t>
            </w:r>
          </w:p>
        </w:tc>
        <w:tc>
          <w:tcPr>
            <w:tcW w:w="3115" w:type="dxa"/>
            <w:tcBorders>
              <w:top w:val="nil"/>
              <w:left w:val="nil"/>
              <w:bottom w:val="single" w:color="auto" w:sz="4" w:space="0"/>
              <w:right w:val="single" w:color="auto" w:sz="4" w:space="0"/>
            </w:tcBorders>
            <w:shd w:val="clear" w:color="auto" w:fill="auto"/>
            <w:vAlign w:val="center"/>
          </w:tcPr>
          <w:p w14:paraId="7FF8934F">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额定输入电压 AC 380V±15%</w:t>
            </w:r>
          </w:p>
        </w:tc>
        <w:tc>
          <w:tcPr>
            <w:tcW w:w="2866" w:type="dxa"/>
            <w:tcBorders>
              <w:top w:val="nil"/>
              <w:left w:val="nil"/>
              <w:bottom w:val="single" w:color="auto" w:sz="4" w:space="0"/>
              <w:right w:val="single" w:color="auto" w:sz="4" w:space="0"/>
            </w:tcBorders>
            <w:shd w:val="clear" w:color="auto" w:fill="auto"/>
            <w:vAlign w:val="center"/>
          </w:tcPr>
          <w:p w14:paraId="233C6517">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70AB017">
            <w:pPr>
              <w:widowControl/>
              <w:spacing w:line="560" w:lineRule="exact"/>
              <w:jc w:val="left"/>
              <w:rPr>
                <w:rFonts w:ascii="Times New Roman" w:hAnsi="Times New Roman" w:eastAsia="宋体" w:cs="Times New Roman"/>
                <w:kern w:val="0"/>
                <w:sz w:val="21"/>
                <w:szCs w:val="21"/>
              </w:rPr>
            </w:pPr>
          </w:p>
        </w:tc>
      </w:tr>
      <w:tr w14:paraId="124C0465">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vAlign w:val="center"/>
          </w:tcPr>
          <w:p w14:paraId="0568F667">
            <w:pPr>
              <w:widowControl/>
              <w:spacing w:line="240" w:lineRule="auto"/>
              <w:jc w:val="center"/>
              <w:textAlignment w:val="center"/>
              <w:rPr>
                <w:rStyle w:val="66"/>
                <w:rFonts w:hint="eastAsia" w:ascii="宋体" w:hAnsi="宋体" w:eastAsia="宋体" w:cs="宋体"/>
                <w:sz w:val="21"/>
                <w:szCs w:val="21"/>
                <w:lang w:bidi="ar"/>
              </w:rPr>
            </w:pPr>
            <w:r>
              <w:rPr>
                <w:rStyle w:val="66"/>
                <w:rFonts w:hint="eastAsia" w:ascii="宋体" w:hAnsi="宋体" w:cs="宋体"/>
                <w:sz w:val="21"/>
                <w:szCs w:val="21"/>
                <w:lang w:eastAsia="zh-CN" w:bidi="ar"/>
              </w:rPr>
              <w:t>8</w:t>
            </w:r>
          </w:p>
        </w:tc>
        <w:tc>
          <w:tcPr>
            <w:tcW w:w="1569" w:type="dxa"/>
            <w:tcBorders>
              <w:top w:val="nil"/>
              <w:left w:val="single" w:color="auto" w:sz="4" w:space="0"/>
              <w:bottom w:val="single" w:color="auto" w:sz="4" w:space="0"/>
              <w:right w:val="single" w:color="auto" w:sz="4" w:space="0"/>
            </w:tcBorders>
            <w:vAlign w:val="center"/>
          </w:tcPr>
          <w:p w14:paraId="7E2B1223">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输入频率</w:t>
            </w:r>
          </w:p>
        </w:tc>
        <w:tc>
          <w:tcPr>
            <w:tcW w:w="3115" w:type="dxa"/>
            <w:tcBorders>
              <w:top w:val="nil"/>
              <w:left w:val="nil"/>
              <w:bottom w:val="single" w:color="auto" w:sz="4" w:space="0"/>
              <w:right w:val="single" w:color="auto" w:sz="4" w:space="0"/>
            </w:tcBorders>
            <w:shd w:val="clear" w:color="auto" w:fill="auto"/>
            <w:vAlign w:val="center"/>
          </w:tcPr>
          <w:p w14:paraId="7BC809BE">
            <w:pPr>
              <w:widowControl/>
              <w:jc w:val="left"/>
              <w:textAlignment w:val="center"/>
              <w:rPr>
                <w:rFonts w:ascii="Times New Roman" w:hAnsi="Times New Roman" w:eastAsia="仿宋" w:cs="Times New Roman"/>
                <w:kern w:val="0"/>
                <w:sz w:val="21"/>
                <w:szCs w:val="21"/>
              </w:rPr>
            </w:pPr>
            <w:r>
              <w:rPr>
                <w:rStyle w:val="66"/>
                <w:rFonts w:hint="default"/>
                <w:sz w:val="21"/>
                <w:szCs w:val="21"/>
                <w:lang w:bidi="ar"/>
              </w:rPr>
              <w:t>45～65Hz</w:t>
            </w:r>
          </w:p>
        </w:tc>
        <w:tc>
          <w:tcPr>
            <w:tcW w:w="2866" w:type="dxa"/>
            <w:tcBorders>
              <w:top w:val="nil"/>
              <w:left w:val="nil"/>
              <w:bottom w:val="single" w:color="auto" w:sz="4" w:space="0"/>
              <w:right w:val="single" w:color="auto" w:sz="4" w:space="0"/>
            </w:tcBorders>
            <w:shd w:val="clear" w:color="auto" w:fill="auto"/>
            <w:vAlign w:val="center"/>
          </w:tcPr>
          <w:p w14:paraId="05D456C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5960E4D">
            <w:pPr>
              <w:widowControl/>
              <w:spacing w:line="560" w:lineRule="exact"/>
              <w:jc w:val="left"/>
              <w:rPr>
                <w:rFonts w:ascii="Times New Roman" w:hAnsi="Times New Roman" w:eastAsia="宋体" w:cs="Times New Roman"/>
                <w:kern w:val="0"/>
                <w:sz w:val="21"/>
                <w:szCs w:val="21"/>
              </w:rPr>
            </w:pPr>
          </w:p>
        </w:tc>
      </w:tr>
      <w:tr w14:paraId="55896D2A">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804F5C1">
            <w:pPr>
              <w:widowControl/>
              <w:spacing w:line="240" w:lineRule="auto"/>
              <w:jc w:val="center"/>
              <w:textAlignment w:val="center"/>
              <w:rPr>
                <w:rStyle w:val="66"/>
                <w:rFonts w:hint="eastAsia" w:ascii="宋体" w:hAnsi="宋体" w:eastAsia="宋体" w:cs="宋体"/>
                <w:sz w:val="21"/>
                <w:szCs w:val="21"/>
                <w:lang w:bidi="ar"/>
              </w:rPr>
            </w:pPr>
            <w:r>
              <w:rPr>
                <w:rStyle w:val="66"/>
                <w:rFonts w:hint="eastAsia" w:ascii="宋体" w:hAnsi="宋体" w:cs="宋体"/>
                <w:sz w:val="21"/>
                <w:szCs w:val="21"/>
                <w:lang w:val="en-US" w:eastAsia="zh-CN" w:bidi="ar"/>
              </w:rPr>
              <w:t>9</w:t>
            </w:r>
          </w:p>
        </w:tc>
        <w:tc>
          <w:tcPr>
            <w:tcW w:w="1569" w:type="dxa"/>
            <w:tcBorders>
              <w:top w:val="nil"/>
              <w:left w:val="nil"/>
              <w:bottom w:val="single" w:color="auto" w:sz="4" w:space="0"/>
              <w:right w:val="single" w:color="auto" w:sz="4" w:space="0"/>
            </w:tcBorders>
            <w:shd w:val="clear" w:color="auto" w:fill="auto"/>
            <w:vAlign w:val="center"/>
          </w:tcPr>
          <w:p w14:paraId="1F82A7D0">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功率因数</w:t>
            </w:r>
          </w:p>
        </w:tc>
        <w:tc>
          <w:tcPr>
            <w:tcW w:w="3115" w:type="dxa"/>
            <w:tcBorders>
              <w:top w:val="nil"/>
              <w:left w:val="nil"/>
              <w:bottom w:val="single" w:color="auto" w:sz="4" w:space="0"/>
              <w:right w:val="single" w:color="auto" w:sz="4" w:space="0"/>
            </w:tcBorders>
            <w:shd w:val="clear" w:color="auto" w:fill="auto"/>
            <w:vAlign w:val="center"/>
          </w:tcPr>
          <w:p w14:paraId="5919F009">
            <w:pPr>
              <w:widowControl/>
              <w:jc w:val="left"/>
              <w:textAlignment w:val="center"/>
              <w:rPr>
                <w:rFonts w:ascii="Times New Roman" w:hAnsi="Times New Roman" w:eastAsia="宋体" w:cs="Times New Roman"/>
                <w:kern w:val="0"/>
                <w:sz w:val="21"/>
                <w:szCs w:val="21"/>
              </w:rPr>
            </w:pPr>
            <w:r>
              <w:rPr>
                <w:rStyle w:val="66"/>
                <w:rFonts w:hint="default"/>
                <w:sz w:val="21"/>
                <w:szCs w:val="21"/>
                <w:lang w:bidi="ar"/>
              </w:rPr>
              <w:t>≥0.99</w:t>
            </w:r>
          </w:p>
        </w:tc>
        <w:tc>
          <w:tcPr>
            <w:tcW w:w="2866" w:type="dxa"/>
            <w:tcBorders>
              <w:top w:val="nil"/>
              <w:left w:val="nil"/>
              <w:bottom w:val="single" w:color="auto" w:sz="4" w:space="0"/>
              <w:right w:val="single" w:color="auto" w:sz="4" w:space="0"/>
            </w:tcBorders>
            <w:shd w:val="clear" w:color="auto" w:fill="auto"/>
            <w:vAlign w:val="center"/>
          </w:tcPr>
          <w:p w14:paraId="5C918683">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F8AACCD">
            <w:pPr>
              <w:widowControl/>
              <w:spacing w:line="560" w:lineRule="exact"/>
              <w:jc w:val="left"/>
              <w:rPr>
                <w:rFonts w:ascii="Times New Roman" w:hAnsi="Times New Roman" w:eastAsia="宋体" w:cs="Times New Roman"/>
                <w:kern w:val="0"/>
                <w:sz w:val="21"/>
                <w:szCs w:val="21"/>
              </w:rPr>
            </w:pPr>
          </w:p>
        </w:tc>
      </w:tr>
      <w:tr w14:paraId="09DAD1C3">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BBC2D3E">
            <w:pPr>
              <w:widowControl/>
              <w:spacing w:line="240" w:lineRule="auto"/>
              <w:jc w:val="center"/>
              <w:textAlignment w:val="center"/>
              <w:rPr>
                <w:rStyle w:val="66"/>
                <w:rFonts w:hint="default" w:ascii="宋体" w:hAnsi="宋体" w:eastAsia="宋体" w:cs="宋体"/>
                <w:sz w:val="21"/>
                <w:szCs w:val="21"/>
                <w:lang w:bidi="ar"/>
              </w:rPr>
            </w:pPr>
            <w:r>
              <w:rPr>
                <w:rStyle w:val="66"/>
                <w:rFonts w:hint="eastAsia" w:ascii="宋体" w:hAnsi="宋体" w:eastAsia="宋体" w:cs="宋体"/>
                <w:sz w:val="21"/>
                <w:szCs w:val="21"/>
                <w:lang w:val="en-US" w:eastAsia="zh-CN" w:bidi="ar"/>
              </w:rPr>
              <w:t>10</w:t>
            </w:r>
          </w:p>
        </w:tc>
        <w:tc>
          <w:tcPr>
            <w:tcW w:w="1569" w:type="dxa"/>
            <w:tcBorders>
              <w:top w:val="nil"/>
              <w:left w:val="nil"/>
              <w:bottom w:val="single" w:color="auto" w:sz="4" w:space="0"/>
              <w:right w:val="single" w:color="auto" w:sz="4" w:space="0"/>
            </w:tcBorders>
            <w:shd w:val="clear" w:color="auto" w:fill="auto"/>
            <w:vAlign w:val="center"/>
          </w:tcPr>
          <w:p w14:paraId="11505788">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sz w:val="21"/>
                <w:szCs w:val="21"/>
                <w:lang w:bidi="ar"/>
              </w:rPr>
              <w:t>交流接触器或同类装置</w:t>
            </w:r>
          </w:p>
        </w:tc>
        <w:tc>
          <w:tcPr>
            <w:tcW w:w="3115" w:type="dxa"/>
            <w:tcBorders>
              <w:top w:val="nil"/>
              <w:left w:val="nil"/>
              <w:bottom w:val="single" w:color="auto" w:sz="4" w:space="0"/>
              <w:right w:val="single" w:color="auto" w:sz="4" w:space="0"/>
            </w:tcBorders>
            <w:shd w:val="clear" w:color="auto" w:fill="auto"/>
            <w:vAlign w:val="center"/>
          </w:tcPr>
          <w:p w14:paraId="2E3562A4">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sz w:val="21"/>
                <w:szCs w:val="21"/>
                <w:lang w:bidi="ar"/>
              </w:rPr>
              <w:t>配置或充电模块内置</w:t>
            </w:r>
          </w:p>
        </w:tc>
        <w:tc>
          <w:tcPr>
            <w:tcW w:w="2866" w:type="dxa"/>
            <w:tcBorders>
              <w:top w:val="nil"/>
              <w:left w:val="nil"/>
              <w:bottom w:val="single" w:color="auto" w:sz="4" w:space="0"/>
              <w:right w:val="single" w:color="auto" w:sz="4" w:space="0"/>
            </w:tcBorders>
            <w:shd w:val="clear" w:color="auto" w:fill="auto"/>
            <w:vAlign w:val="center"/>
          </w:tcPr>
          <w:p w14:paraId="53D13CD4">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1D412F2">
            <w:pPr>
              <w:widowControl/>
              <w:spacing w:line="560" w:lineRule="exact"/>
              <w:jc w:val="left"/>
              <w:rPr>
                <w:rFonts w:ascii="Times New Roman" w:hAnsi="Times New Roman" w:eastAsia="宋体" w:cs="Times New Roman"/>
                <w:kern w:val="0"/>
                <w:sz w:val="21"/>
                <w:szCs w:val="21"/>
              </w:rPr>
            </w:pPr>
          </w:p>
        </w:tc>
      </w:tr>
      <w:tr w14:paraId="202D5ACB">
        <w:tblPrEx>
          <w:tblCellMar>
            <w:top w:w="0" w:type="dxa"/>
            <w:left w:w="108" w:type="dxa"/>
            <w:bottom w:w="0" w:type="dxa"/>
            <w:right w:w="108" w:type="dxa"/>
          </w:tblCellMar>
        </w:tblPrEx>
        <w:trPr>
          <w:trHeight w:val="58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822AB7A">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1</w:t>
            </w:r>
          </w:p>
        </w:tc>
        <w:tc>
          <w:tcPr>
            <w:tcW w:w="1569" w:type="dxa"/>
            <w:tcBorders>
              <w:top w:val="nil"/>
              <w:left w:val="nil"/>
              <w:bottom w:val="single" w:color="auto" w:sz="4" w:space="0"/>
              <w:right w:val="single" w:color="auto" w:sz="4" w:space="0"/>
            </w:tcBorders>
            <w:shd w:val="clear" w:color="auto" w:fill="auto"/>
            <w:vAlign w:val="center"/>
          </w:tcPr>
          <w:p w14:paraId="27AD512E">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充电接口</w:t>
            </w:r>
          </w:p>
        </w:tc>
        <w:tc>
          <w:tcPr>
            <w:tcW w:w="3115" w:type="dxa"/>
            <w:tcBorders>
              <w:top w:val="nil"/>
              <w:left w:val="nil"/>
              <w:bottom w:val="single" w:color="auto" w:sz="4" w:space="0"/>
              <w:right w:val="single" w:color="auto" w:sz="4" w:space="0"/>
            </w:tcBorders>
            <w:shd w:val="clear" w:color="auto" w:fill="auto"/>
            <w:vAlign w:val="center"/>
          </w:tcPr>
          <w:p w14:paraId="0A8A1DFD">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满足 GB/T20234.1-20</w:t>
            </w:r>
            <w:r>
              <w:rPr>
                <w:rStyle w:val="66"/>
                <w:rFonts w:hint="eastAsia"/>
                <w:sz w:val="21"/>
                <w:szCs w:val="21"/>
                <w:lang w:val="en-US" w:eastAsia="zh-CN" w:bidi="ar"/>
              </w:rPr>
              <w:t>23</w:t>
            </w:r>
            <w:r>
              <w:rPr>
                <w:rStyle w:val="66"/>
                <w:rFonts w:hint="default"/>
                <w:sz w:val="21"/>
                <w:szCs w:val="21"/>
                <w:lang w:bidi="ar"/>
              </w:rPr>
              <w:t>、GB/T20234.3-20</w:t>
            </w:r>
            <w:r>
              <w:rPr>
                <w:rStyle w:val="66"/>
                <w:rFonts w:hint="eastAsia"/>
                <w:sz w:val="21"/>
                <w:szCs w:val="21"/>
                <w:lang w:val="en-US" w:eastAsia="zh-CN" w:bidi="ar"/>
              </w:rPr>
              <w:t>23</w:t>
            </w:r>
            <w:r>
              <w:rPr>
                <w:rStyle w:val="66"/>
                <w:rFonts w:hint="default"/>
                <w:sz w:val="21"/>
                <w:szCs w:val="21"/>
                <w:lang w:bidi="ar"/>
              </w:rPr>
              <w:t>标准</w:t>
            </w:r>
          </w:p>
        </w:tc>
        <w:tc>
          <w:tcPr>
            <w:tcW w:w="2866" w:type="dxa"/>
            <w:tcBorders>
              <w:top w:val="nil"/>
              <w:left w:val="nil"/>
              <w:bottom w:val="single" w:color="auto" w:sz="4" w:space="0"/>
              <w:right w:val="single" w:color="auto" w:sz="4" w:space="0"/>
            </w:tcBorders>
            <w:shd w:val="clear" w:color="auto" w:fill="auto"/>
            <w:vAlign w:val="center"/>
          </w:tcPr>
          <w:p w14:paraId="0460E397">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1E7D8D22">
            <w:pPr>
              <w:widowControl/>
              <w:spacing w:line="560" w:lineRule="exact"/>
              <w:jc w:val="left"/>
              <w:rPr>
                <w:rFonts w:ascii="Times New Roman" w:hAnsi="Times New Roman" w:eastAsia="宋体" w:cs="Times New Roman"/>
                <w:kern w:val="0"/>
                <w:sz w:val="21"/>
                <w:szCs w:val="21"/>
              </w:rPr>
            </w:pPr>
          </w:p>
        </w:tc>
      </w:tr>
      <w:tr w14:paraId="2DDA7981">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01EE450">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2</w:t>
            </w:r>
          </w:p>
        </w:tc>
        <w:tc>
          <w:tcPr>
            <w:tcW w:w="1569" w:type="dxa"/>
            <w:tcBorders>
              <w:top w:val="nil"/>
              <w:left w:val="nil"/>
              <w:bottom w:val="single" w:color="auto" w:sz="4" w:space="0"/>
              <w:right w:val="single" w:color="auto" w:sz="4" w:space="0"/>
            </w:tcBorders>
            <w:shd w:val="clear" w:color="auto" w:fill="auto"/>
            <w:vAlign w:val="center"/>
          </w:tcPr>
          <w:p w14:paraId="281A2346">
            <w:pPr>
              <w:widowControl/>
              <w:jc w:val="left"/>
              <w:textAlignment w:val="center"/>
              <w:rPr>
                <w:rFonts w:hint="eastAsia" w:ascii="宋体" w:hAnsi="宋体" w:eastAsia="宋体" w:cs="宋体"/>
                <w:color w:val="000000"/>
                <w:kern w:val="2"/>
                <w:sz w:val="21"/>
                <w:szCs w:val="21"/>
                <w:u w:val="none"/>
                <w:lang w:val="en-US" w:eastAsia="zh-CN" w:bidi="ar"/>
              </w:rPr>
            </w:pPr>
            <w:r>
              <w:rPr>
                <w:rStyle w:val="66"/>
                <w:rFonts w:hint="eastAsia"/>
                <w:sz w:val="21"/>
                <w:szCs w:val="21"/>
                <w:lang w:val="en-US" w:eastAsia="zh-CN" w:bidi="ar"/>
              </w:rPr>
              <w:t>枪线</w:t>
            </w:r>
          </w:p>
        </w:tc>
        <w:tc>
          <w:tcPr>
            <w:tcW w:w="3115" w:type="dxa"/>
            <w:tcBorders>
              <w:top w:val="nil"/>
              <w:left w:val="nil"/>
              <w:bottom w:val="single" w:color="auto" w:sz="4" w:space="0"/>
              <w:right w:val="single" w:color="auto" w:sz="4" w:space="0"/>
            </w:tcBorders>
            <w:shd w:val="clear" w:color="auto" w:fill="auto"/>
            <w:vAlign w:val="center"/>
          </w:tcPr>
          <w:p w14:paraId="604D752C">
            <w:pPr>
              <w:widowControl/>
              <w:jc w:val="left"/>
              <w:textAlignment w:val="center"/>
              <w:rPr>
                <w:rFonts w:hint="default" w:ascii="宋体" w:hAnsi="宋体" w:eastAsia="宋体" w:cs="宋体"/>
                <w:color w:val="000000"/>
                <w:kern w:val="2"/>
                <w:sz w:val="21"/>
                <w:szCs w:val="21"/>
                <w:u w:val="none"/>
                <w:lang w:val="en-US" w:eastAsia="zh-CN" w:bidi="ar"/>
              </w:rPr>
            </w:pPr>
            <w:r>
              <w:rPr>
                <w:rStyle w:val="66"/>
                <w:rFonts w:hint="eastAsia"/>
                <w:sz w:val="21"/>
                <w:szCs w:val="21"/>
                <w:lang w:val="en-US" w:eastAsia="zh-CN" w:bidi="ar"/>
              </w:rPr>
              <w:t>长度不小于5米</w:t>
            </w:r>
            <w:r>
              <w:rPr>
                <w:rStyle w:val="66"/>
                <w:rFonts w:hint="default"/>
                <w:lang w:bidi="ar"/>
              </w:rPr>
              <w:t>（枪线外径≤3</w:t>
            </w:r>
            <w:r>
              <w:rPr>
                <w:rStyle w:val="66"/>
                <w:rFonts w:hint="eastAsia"/>
                <w:lang w:val="en-US" w:eastAsia="zh-CN" w:bidi="ar"/>
              </w:rPr>
              <w:t>2</w:t>
            </w:r>
            <w:r>
              <w:rPr>
                <w:rStyle w:val="66"/>
                <w:rFonts w:hint="default"/>
                <w:lang w:bidi="ar"/>
              </w:rPr>
              <w:t>mm）</w:t>
            </w:r>
          </w:p>
        </w:tc>
        <w:tc>
          <w:tcPr>
            <w:tcW w:w="2866" w:type="dxa"/>
            <w:tcBorders>
              <w:top w:val="nil"/>
              <w:left w:val="nil"/>
              <w:bottom w:val="single" w:color="auto" w:sz="4" w:space="0"/>
              <w:right w:val="single" w:color="auto" w:sz="4" w:space="0"/>
            </w:tcBorders>
            <w:shd w:val="clear" w:color="auto" w:fill="auto"/>
            <w:vAlign w:val="center"/>
          </w:tcPr>
          <w:p w14:paraId="1493E2BA">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BF2419B">
            <w:pPr>
              <w:widowControl/>
              <w:spacing w:line="560" w:lineRule="exact"/>
              <w:jc w:val="left"/>
              <w:rPr>
                <w:rFonts w:ascii="Times New Roman" w:hAnsi="Times New Roman" w:eastAsia="宋体" w:cs="Times New Roman"/>
                <w:kern w:val="0"/>
                <w:sz w:val="21"/>
                <w:szCs w:val="21"/>
              </w:rPr>
            </w:pPr>
          </w:p>
        </w:tc>
      </w:tr>
      <w:tr w14:paraId="2828AD3F">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E7161DF">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3</w:t>
            </w:r>
          </w:p>
        </w:tc>
        <w:tc>
          <w:tcPr>
            <w:tcW w:w="1569" w:type="dxa"/>
            <w:tcBorders>
              <w:top w:val="nil"/>
              <w:left w:val="nil"/>
              <w:bottom w:val="single" w:color="auto" w:sz="4" w:space="0"/>
              <w:right w:val="single" w:color="auto" w:sz="4" w:space="0"/>
            </w:tcBorders>
            <w:shd w:val="clear" w:color="auto" w:fill="auto"/>
            <w:vAlign w:val="center"/>
          </w:tcPr>
          <w:p w14:paraId="03DFDB87">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BMS供电电源</w:t>
            </w:r>
          </w:p>
        </w:tc>
        <w:tc>
          <w:tcPr>
            <w:tcW w:w="3115" w:type="dxa"/>
            <w:tcBorders>
              <w:top w:val="nil"/>
              <w:left w:val="nil"/>
              <w:bottom w:val="single" w:color="auto" w:sz="4" w:space="0"/>
              <w:right w:val="single" w:color="auto" w:sz="4" w:space="0"/>
            </w:tcBorders>
            <w:shd w:val="clear" w:color="auto" w:fill="auto"/>
            <w:vAlign w:val="center"/>
          </w:tcPr>
          <w:p w14:paraId="0FCE99C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可设置 12V</w:t>
            </w:r>
            <w:r>
              <w:rPr>
                <w:rStyle w:val="66"/>
                <w:rFonts w:hint="default"/>
                <w:lang w:bidi="ar"/>
              </w:rPr>
              <w:t>（可根据需要选配24V）</w:t>
            </w:r>
          </w:p>
        </w:tc>
        <w:tc>
          <w:tcPr>
            <w:tcW w:w="2866" w:type="dxa"/>
            <w:tcBorders>
              <w:top w:val="nil"/>
              <w:left w:val="nil"/>
              <w:bottom w:val="single" w:color="auto" w:sz="4" w:space="0"/>
              <w:right w:val="single" w:color="auto" w:sz="4" w:space="0"/>
            </w:tcBorders>
            <w:shd w:val="clear" w:color="auto" w:fill="auto"/>
            <w:vAlign w:val="center"/>
          </w:tcPr>
          <w:p w14:paraId="6FA2C6D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1F7464B8">
            <w:pPr>
              <w:widowControl/>
              <w:spacing w:line="560" w:lineRule="exact"/>
              <w:jc w:val="left"/>
              <w:rPr>
                <w:rFonts w:ascii="Times New Roman" w:hAnsi="Times New Roman" w:eastAsia="宋体" w:cs="Times New Roman"/>
                <w:kern w:val="0"/>
                <w:sz w:val="21"/>
                <w:szCs w:val="21"/>
              </w:rPr>
            </w:pPr>
          </w:p>
        </w:tc>
      </w:tr>
      <w:tr w14:paraId="40847E45">
        <w:tblPrEx>
          <w:tblCellMar>
            <w:top w:w="0" w:type="dxa"/>
            <w:left w:w="108" w:type="dxa"/>
            <w:bottom w:w="0" w:type="dxa"/>
            <w:right w:w="108" w:type="dxa"/>
          </w:tblCellMar>
        </w:tblPrEx>
        <w:trPr>
          <w:trHeight w:val="58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94AACC1">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4</w:t>
            </w:r>
          </w:p>
        </w:tc>
        <w:tc>
          <w:tcPr>
            <w:tcW w:w="1569" w:type="dxa"/>
            <w:tcBorders>
              <w:top w:val="nil"/>
              <w:left w:val="nil"/>
              <w:bottom w:val="single" w:color="auto" w:sz="4" w:space="0"/>
              <w:right w:val="single" w:color="auto" w:sz="4" w:space="0"/>
            </w:tcBorders>
            <w:shd w:val="clear" w:color="auto" w:fill="auto"/>
            <w:vAlign w:val="center"/>
          </w:tcPr>
          <w:p w14:paraId="2AACF8AC">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输出电压</w:t>
            </w:r>
          </w:p>
        </w:tc>
        <w:tc>
          <w:tcPr>
            <w:tcW w:w="3115" w:type="dxa"/>
            <w:tcBorders>
              <w:top w:val="nil"/>
              <w:left w:val="nil"/>
              <w:bottom w:val="single" w:color="auto" w:sz="4" w:space="0"/>
              <w:right w:val="single" w:color="auto" w:sz="4" w:space="0"/>
            </w:tcBorders>
            <w:shd w:val="clear" w:color="auto" w:fill="auto"/>
            <w:vAlign w:val="center"/>
          </w:tcPr>
          <w:p w14:paraId="5836A04B">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输出电压范围 200Vdc～1000Vdc，恒功率范围：300Vdc～1000Vdc</w:t>
            </w:r>
          </w:p>
        </w:tc>
        <w:tc>
          <w:tcPr>
            <w:tcW w:w="2866" w:type="dxa"/>
            <w:tcBorders>
              <w:top w:val="nil"/>
              <w:left w:val="nil"/>
              <w:bottom w:val="single" w:color="auto" w:sz="4" w:space="0"/>
              <w:right w:val="single" w:color="auto" w:sz="4" w:space="0"/>
            </w:tcBorders>
            <w:shd w:val="clear" w:color="auto" w:fill="auto"/>
            <w:vAlign w:val="center"/>
          </w:tcPr>
          <w:p w14:paraId="7E569483">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66D63011">
            <w:pPr>
              <w:widowControl/>
              <w:spacing w:line="560" w:lineRule="exact"/>
              <w:jc w:val="left"/>
              <w:rPr>
                <w:rFonts w:ascii="Times New Roman" w:hAnsi="Times New Roman" w:eastAsia="宋体" w:cs="Times New Roman"/>
                <w:kern w:val="0"/>
                <w:sz w:val="21"/>
                <w:szCs w:val="21"/>
              </w:rPr>
            </w:pPr>
          </w:p>
        </w:tc>
      </w:tr>
      <w:tr w14:paraId="7D9A51BE">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431336C">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5</w:t>
            </w:r>
          </w:p>
        </w:tc>
        <w:tc>
          <w:tcPr>
            <w:tcW w:w="1569" w:type="dxa"/>
            <w:tcBorders>
              <w:top w:val="nil"/>
              <w:left w:val="nil"/>
              <w:bottom w:val="single" w:color="auto" w:sz="4" w:space="0"/>
              <w:right w:val="single" w:color="auto" w:sz="4" w:space="0"/>
            </w:tcBorders>
            <w:shd w:val="clear" w:color="auto" w:fill="auto"/>
            <w:vAlign w:val="center"/>
          </w:tcPr>
          <w:p w14:paraId="660A2B5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额定输出功率</w:t>
            </w:r>
          </w:p>
        </w:tc>
        <w:tc>
          <w:tcPr>
            <w:tcW w:w="3115" w:type="dxa"/>
            <w:tcBorders>
              <w:top w:val="nil"/>
              <w:left w:val="nil"/>
              <w:bottom w:val="single" w:color="auto" w:sz="4" w:space="0"/>
              <w:right w:val="single" w:color="auto" w:sz="4" w:space="0"/>
            </w:tcBorders>
            <w:shd w:val="clear" w:color="auto" w:fill="auto"/>
            <w:vAlign w:val="center"/>
          </w:tcPr>
          <w:p w14:paraId="1D7BCF0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480kW</w:t>
            </w:r>
          </w:p>
        </w:tc>
        <w:tc>
          <w:tcPr>
            <w:tcW w:w="2866" w:type="dxa"/>
            <w:tcBorders>
              <w:top w:val="nil"/>
              <w:left w:val="nil"/>
              <w:bottom w:val="single" w:color="auto" w:sz="4" w:space="0"/>
              <w:right w:val="single" w:color="auto" w:sz="4" w:space="0"/>
            </w:tcBorders>
            <w:shd w:val="clear" w:color="auto" w:fill="auto"/>
            <w:vAlign w:val="center"/>
          </w:tcPr>
          <w:p w14:paraId="7FAA9891">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16F1E1BD">
            <w:pPr>
              <w:widowControl/>
              <w:spacing w:line="560" w:lineRule="exact"/>
              <w:jc w:val="left"/>
              <w:rPr>
                <w:rFonts w:ascii="Times New Roman" w:hAnsi="Times New Roman" w:eastAsia="宋体" w:cs="Times New Roman"/>
                <w:kern w:val="0"/>
                <w:sz w:val="21"/>
                <w:szCs w:val="21"/>
              </w:rPr>
            </w:pPr>
          </w:p>
        </w:tc>
      </w:tr>
      <w:tr w14:paraId="729D3E6A">
        <w:tblPrEx>
          <w:tblCellMar>
            <w:top w:w="0" w:type="dxa"/>
            <w:left w:w="108" w:type="dxa"/>
            <w:bottom w:w="0" w:type="dxa"/>
            <w:right w:w="108" w:type="dxa"/>
          </w:tblCellMar>
        </w:tblPrEx>
        <w:trPr>
          <w:trHeight w:val="59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D622741">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6</w:t>
            </w:r>
          </w:p>
        </w:tc>
        <w:tc>
          <w:tcPr>
            <w:tcW w:w="1569" w:type="dxa"/>
            <w:tcBorders>
              <w:top w:val="nil"/>
              <w:left w:val="nil"/>
              <w:bottom w:val="single" w:color="auto" w:sz="4" w:space="0"/>
              <w:right w:val="single" w:color="auto" w:sz="4" w:space="0"/>
            </w:tcBorders>
            <w:shd w:val="clear" w:color="auto" w:fill="auto"/>
            <w:vAlign w:val="center"/>
          </w:tcPr>
          <w:p w14:paraId="1AA0278D">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单路最大电流</w:t>
            </w:r>
          </w:p>
        </w:tc>
        <w:tc>
          <w:tcPr>
            <w:tcW w:w="3115" w:type="dxa"/>
            <w:tcBorders>
              <w:top w:val="nil"/>
              <w:left w:val="nil"/>
              <w:bottom w:val="single" w:color="auto" w:sz="4" w:space="0"/>
              <w:right w:val="single" w:color="auto" w:sz="4" w:space="0"/>
            </w:tcBorders>
            <w:shd w:val="clear" w:color="auto" w:fill="auto"/>
            <w:vAlign w:val="center"/>
          </w:tcPr>
          <w:p w14:paraId="639D01F5">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≥240A，</w:t>
            </w:r>
            <w:r>
              <w:rPr>
                <w:rStyle w:val="66"/>
                <w:sz w:val="21"/>
                <w:szCs w:val="21"/>
                <w:lang w:bidi="ar"/>
              </w:rPr>
              <w:t>超级终端满足最大输出电流600A</w:t>
            </w:r>
          </w:p>
        </w:tc>
        <w:tc>
          <w:tcPr>
            <w:tcW w:w="2866" w:type="dxa"/>
            <w:tcBorders>
              <w:top w:val="nil"/>
              <w:left w:val="nil"/>
              <w:bottom w:val="single" w:color="auto" w:sz="4" w:space="0"/>
              <w:right w:val="single" w:color="auto" w:sz="4" w:space="0"/>
            </w:tcBorders>
            <w:shd w:val="clear" w:color="auto" w:fill="auto"/>
            <w:vAlign w:val="center"/>
          </w:tcPr>
          <w:p w14:paraId="5788FBC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3C78563">
            <w:pPr>
              <w:widowControl/>
              <w:spacing w:line="560" w:lineRule="exact"/>
              <w:jc w:val="left"/>
              <w:rPr>
                <w:rFonts w:ascii="Times New Roman" w:hAnsi="Times New Roman" w:eastAsia="宋体" w:cs="Times New Roman"/>
                <w:kern w:val="0"/>
                <w:sz w:val="21"/>
                <w:szCs w:val="21"/>
              </w:rPr>
            </w:pPr>
          </w:p>
        </w:tc>
      </w:tr>
      <w:tr w14:paraId="5223B40D">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6AABF65">
            <w:pPr>
              <w:widowControl/>
              <w:spacing w:line="240" w:lineRule="auto"/>
              <w:ind w:firstLine="210" w:firstLineChars="100"/>
              <w:jc w:val="left"/>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7</w:t>
            </w:r>
          </w:p>
        </w:tc>
        <w:tc>
          <w:tcPr>
            <w:tcW w:w="1569" w:type="dxa"/>
            <w:tcBorders>
              <w:top w:val="nil"/>
              <w:left w:val="nil"/>
              <w:bottom w:val="single" w:color="auto" w:sz="4" w:space="0"/>
              <w:right w:val="single" w:color="auto" w:sz="4" w:space="0"/>
            </w:tcBorders>
            <w:shd w:val="clear" w:color="auto" w:fill="auto"/>
            <w:vAlign w:val="center"/>
          </w:tcPr>
          <w:p w14:paraId="31EA1077">
            <w:pPr>
              <w:widowControl/>
              <w:jc w:val="left"/>
              <w:textAlignment w:val="center"/>
              <w:rPr>
                <w:rStyle w:val="66"/>
                <w:lang w:bidi="ar"/>
              </w:rPr>
            </w:pPr>
            <w:r>
              <w:rPr>
                <w:rStyle w:val="66"/>
                <w:rFonts w:hint="eastAsia"/>
                <w:sz w:val="21"/>
                <w:szCs w:val="21"/>
                <w:lang w:val="en-US" w:eastAsia="zh-CN" w:bidi="ar"/>
              </w:rPr>
              <w:t>峰值</w:t>
            </w:r>
            <w:r>
              <w:rPr>
                <w:rStyle w:val="66"/>
                <w:rFonts w:hint="default"/>
                <w:sz w:val="21"/>
                <w:szCs w:val="21"/>
                <w:lang w:bidi="ar"/>
              </w:rPr>
              <w:t>效率</w:t>
            </w:r>
          </w:p>
        </w:tc>
        <w:tc>
          <w:tcPr>
            <w:tcW w:w="3115" w:type="dxa"/>
            <w:tcBorders>
              <w:top w:val="nil"/>
              <w:left w:val="nil"/>
              <w:bottom w:val="single" w:color="auto" w:sz="4" w:space="0"/>
              <w:right w:val="single" w:color="auto" w:sz="4" w:space="0"/>
            </w:tcBorders>
            <w:shd w:val="clear" w:color="auto" w:fill="auto"/>
            <w:vAlign w:val="center"/>
          </w:tcPr>
          <w:p w14:paraId="1BB4103A">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w:t>
            </w:r>
            <w:r>
              <w:rPr>
                <w:rStyle w:val="66"/>
                <w:rFonts w:hint="eastAsia" w:ascii="宋体" w:hAnsi="宋体" w:eastAsia="宋体" w:cs="宋体"/>
                <w:sz w:val="21"/>
                <w:szCs w:val="21"/>
                <w:lang w:bidi="ar"/>
              </w:rPr>
              <w:t>9</w:t>
            </w:r>
            <w:r>
              <w:rPr>
                <w:rStyle w:val="66"/>
                <w:rFonts w:ascii="宋体" w:hAnsi="宋体" w:eastAsia="宋体" w:cs="宋体"/>
                <w:sz w:val="21"/>
                <w:szCs w:val="21"/>
                <w:lang w:bidi="ar"/>
              </w:rPr>
              <w:t>6%</w:t>
            </w:r>
          </w:p>
        </w:tc>
        <w:tc>
          <w:tcPr>
            <w:tcW w:w="2866" w:type="dxa"/>
            <w:tcBorders>
              <w:top w:val="nil"/>
              <w:left w:val="nil"/>
              <w:bottom w:val="single" w:color="auto" w:sz="4" w:space="0"/>
              <w:right w:val="single" w:color="auto" w:sz="4" w:space="0"/>
            </w:tcBorders>
            <w:shd w:val="clear" w:color="auto" w:fill="auto"/>
            <w:vAlign w:val="center"/>
          </w:tcPr>
          <w:p w14:paraId="5670B78D">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333682E">
            <w:pPr>
              <w:widowControl/>
              <w:spacing w:line="560" w:lineRule="exact"/>
              <w:jc w:val="left"/>
              <w:rPr>
                <w:rFonts w:ascii="Times New Roman" w:hAnsi="Times New Roman" w:eastAsia="宋体" w:cs="Times New Roman"/>
                <w:kern w:val="0"/>
                <w:sz w:val="21"/>
                <w:szCs w:val="21"/>
              </w:rPr>
            </w:pPr>
          </w:p>
        </w:tc>
      </w:tr>
      <w:tr w14:paraId="10AB47B6">
        <w:tblPrEx>
          <w:tblCellMar>
            <w:top w:w="0" w:type="dxa"/>
            <w:left w:w="108" w:type="dxa"/>
            <w:bottom w:w="0" w:type="dxa"/>
            <w:right w:w="108" w:type="dxa"/>
          </w:tblCellMar>
        </w:tblPrEx>
        <w:trPr>
          <w:trHeight w:val="725"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B855B73">
            <w:pPr>
              <w:widowControl/>
              <w:spacing w:line="240" w:lineRule="auto"/>
              <w:jc w:val="center"/>
              <w:textAlignment w:val="center"/>
              <w:rPr>
                <w:rStyle w:val="66"/>
                <w:rFonts w:hint="eastAsia" w:ascii="宋体" w:hAnsi="宋体" w:eastAsia="宋体" w:cs="宋体"/>
                <w:sz w:val="21"/>
                <w:szCs w:val="21"/>
                <w:lang w:bidi="ar"/>
              </w:rPr>
            </w:pPr>
            <w:r>
              <w:rPr>
                <w:rStyle w:val="66"/>
                <w:rFonts w:ascii="宋体" w:hAnsi="宋体" w:cs="宋体"/>
                <w:sz w:val="21"/>
                <w:szCs w:val="21"/>
                <w:lang w:bidi="ar"/>
              </w:rPr>
              <w:t>1</w:t>
            </w:r>
            <w:r>
              <w:rPr>
                <w:rStyle w:val="66"/>
                <w:rFonts w:hint="eastAsia" w:ascii="宋体" w:hAnsi="宋体" w:cs="宋体"/>
                <w:sz w:val="21"/>
                <w:szCs w:val="21"/>
                <w:lang w:val="en-US" w:eastAsia="zh-CN" w:bidi="ar"/>
              </w:rPr>
              <w:t>8</w:t>
            </w:r>
          </w:p>
        </w:tc>
        <w:tc>
          <w:tcPr>
            <w:tcW w:w="1569" w:type="dxa"/>
            <w:tcBorders>
              <w:top w:val="nil"/>
              <w:left w:val="nil"/>
              <w:bottom w:val="single" w:color="auto" w:sz="4" w:space="0"/>
              <w:right w:val="single" w:color="auto" w:sz="4" w:space="0"/>
            </w:tcBorders>
            <w:shd w:val="clear" w:color="auto" w:fill="auto"/>
            <w:vAlign w:val="center"/>
          </w:tcPr>
          <w:p w14:paraId="1B7ED6D5">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稳流精度</w:t>
            </w:r>
          </w:p>
        </w:tc>
        <w:tc>
          <w:tcPr>
            <w:tcW w:w="3115" w:type="dxa"/>
            <w:tcBorders>
              <w:top w:val="nil"/>
              <w:left w:val="nil"/>
              <w:bottom w:val="single" w:color="auto" w:sz="4" w:space="0"/>
              <w:right w:val="single" w:color="auto" w:sz="4" w:space="0"/>
            </w:tcBorders>
            <w:shd w:val="clear" w:color="auto" w:fill="auto"/>
            <w:vAlign w:val="center"/>
          </w:tcPr>
          <w:p w14:paraId="5899C016">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≤±1%</w:t>
            </w:r>
          </w:p>
        </w:tc>
        <w:tc>
          <w:tcPr>
            <w:tcW w:w="2866" w:type="dxa"/>
            <w:tcBorders>
              <w:top w:val="nil"/>
              <w:left w:val="nil"/>
              <w:bottom w:val="single" w:color="auto" w:sz="4" w:space="0"/>
              <w:right w:val="single" w:color="auto" w:sz="4" w:space="0"/>
            </w:tcBorders>
            <w:shd w:val="clear" w:color="auto" w:fill="auto"/>
            <w:vAlign w:val="center"/>
          </w:tcPr>
          <w:p w14:paraId="0952B64B">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E90C99D">
            <w:pPr>
              <w:widowControl/>
              <w:spacing w:line="560" w:lineRule="exact"/>
              <w:jc w:val="left"/>
              <w:rPr>
                <w:rFonts w:ascii="Times New Roman" w:hAnsi="Times New Roman" w:eastAsia="宋体" w:cs="Times New Roman"/>
                <w:kern w:val="0"/>
                <w:sz w:val="21"/>
                <w:szCs w:val="21"/>
              </w:rPr>
            </w:pPr>
          </w:p>
        </w:tc>
      </w:tr>
      <w:tr w14:paraId="2D5EABFE">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0069AF8">
            <w:pPr>
              <w:widowControl/>
              <w:spacing w:line="560" w:lineRule="exac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19</w:t>
            </w:r>
          </w:p>
        </w:tc>
        <w:tc>
          <w:tcPr>
            <w:tcW w:w="1569" w:type="dxa"/>
            <w:tcBorders>
              <w:top w:val="nil"/>
              <w:left w:val="nil"/>
              <w:bottom w:val="single" w:color="auto" w:sz="4" w:space="0"/>
              <w:right w:val="single" w:color="auto" w:sz="4" w:space="0"/>
            </w:tcBorders>
            <w:shd w:val="clear" w:color="auto" w:fill="auto"/>
            <w:vAlign w:val="center"/>
          </w:tcPr>
          <w:p w14:paraId="12ACC59C">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稳压精度</w:t>
            </w:r>
          </w:p>
        </w:tc>
        <w:tc>
          <w:tcPr>
            <w:tcW w:w="3115" w:type="dxa"/>
            <w:tcBorders>
              <w:top w:val="nil"/>
              <w:left w:val="nil"/>
              <w:bottom w:val="single" w:color="auto" w:sz="4" w:space="0"/>
              <w:right w:val="single" w:color="auto" w:sz="4" w:space="0"/>
            </w:tcBorders>
            <w:shd w:val="clear" w:color="auto" w:fill="auto"/>
            <w:vAlign w:val="center"/>
          </w:tcPr>
          <w:p w14:paraId="1173C62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≤±0.5%</w:t>
            </w:r>
          </w:p>
        </w:tc>
        <w:tc>
          <w:tcPr>
            <w:tcW w:w="2866" w:type="dxa"/>
            <w:tcBorders>
              <w:top w:val="nil"/>
              <w:left w:val="nil"/>
              <w:bottom w:val="single" w:color="auto" w:sz="4" w:space="0"/>
              <w:right w:val="single" w:color="auto" w:sz="4" w:space="0"/>
            </w:tcBorders>
            <w:shd w:val="clear" w:color="auto" w:fill="auto"/>
            <w:vAlign w:val="center"/>
          </w:tcPr>
          <w:p w14:paraId="793D117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7616FD0">
            <w:pPr>
              <w:widowControl/>
              <w:spacing w:line="560" w:lineRule="exact"/>
              <w:jc w:val="left"/>
              <w:rPr>
                <w:rFonts w:ascii="Times New Roman" w:hAnsi="Times New Roman" w:eastAsia="宋体" w:cs="Times New Roman"/>
                <w:kern w:val="0"/>
                <w:sz w:val="21"/>
                <w:szCs w:val="21"/>
              </w:rPr>
            </w:pPr>
          </w:p>
        </w:tc>
      </w:tr>
      <w:tr w14:paraId="49F5DB57">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3975BC2">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0</w:t>
            </w:r>
          </w:p>
        </w:tc>
        <w:tc>
          <w:tcPr>
            <w:tcW w:w="1569" w:type="dxa"/>
            <w:tcBorders>
              <w:top w:val="nil"/>
              <w:left w:val="nil"/>
              <w:bottom w:val="single" w:color="auto" w:sz="4" w:space="0"/>
              <w:right w:val="single" w:color="auto" w:sz="4" w:space="0"/>
            </w:tcBorders>
            <w:shd w:val="clear" w:color="auto" w:fill="auto"/>
            <w:vAlign w:val="center"/>
          </w:tcPr>
          <w:p w14:paraId="077474C8">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电压纹波系数</w:t>
            </w:r>
          </w:p>
        </w:tc>
        <w:tc>
          <w:tcPr>
            <w:tcW w:w="3115" w:type="dxa"/>
            <w:tcBorders>
              <w:top w:val="nil"/>
              <w:left w:val="nil"/>
              <w:bottom w:val="single" w:color="auto" w:sz="4" w:space="0"/>
              <w:right w:val="single" w:color="auto" w:sz="4" w:space="0"/>
            </w:tcBorders>
            <w:shd w:val="clear" w:color="auto" w:fill="auto"/>
            <w:vAlign w:val="center"/>
          </w:tcPr>
          <w:p w14:paraId="5545BE11">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≤±0.5%</w:t>
            </w:r>
          </w:p>
        </w:tc>
        <w:tc>
          <w:tcPr>
            <w:tcW w:w="2866" w:type="dxa"/>
            <w:tcBorders>
              <w:top w:val="nil"/>
              <w:left w:val="nil"/>
              <w:bottom w:val="single" w:color="auto" w:sz="4" w:space="0"/>
              <w:right w:val="single" w:color="auto" w:sz="4" w:space="0"/>
            </w:tcBorders>
            <w:shd w:val="clear" w:color="auto" w:fill="auto"/>
            <w:vAlign w:val="center"/>
          </w:tcPr>
          <w:p w14:paraId="7C55FE51">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C80F1F4">
            <w:pPr>
              <w:widowControl/>
              <w:spacing w:line="560" w:lineRule="exact"/>
              <w:jc w:val="left"/>
              <w:rPr>
                <w:rFonts w:ascii="Times New Roman" w:hAnsi="Times New Roman" w:eastAsia="宋体" w:cs="Times New Roman"/>
                <w:kern w:val="0"/>
                <w:sz w:val="21"/>
                <w:szCs w:val="21"/>
              </w:rPr>
            </w:pPr>
          </w:p>
        </w:tc>
      </w:tr>
      <w:tr w14:paraId="1FE3FF8C">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8030B95">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1</w:t>
            </w:r>
          </w:p>
        </w:tc>
        <w:tc>
          <w:tcPr>
            <w:tcW w:w="1569" w:type="dxa"/>
            <w:tcBorders>
              <w:top w:val="nil"/>
              <w:left w:val="nil"/>
              <w:bottom w:val="single" w:color="auto" w:sz="4" w:space="0"/>
              <w:right w:val="single" w:color="auto" w:sz="4" w:space="0"/>
            </w:tcBorders>
            <w:shd w:val="clear" w:color="auto" w:fill="auto"/>
            <w:vAlign w:val="center"/>
          </w:tcPr>
          <w:p w14:paraId="73EB88EF">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BMS通信</w:t>
            </w:r>
          </w:p>
        </w:tc>
        <w:tc>
          <w:tcPr>
            <w:tcW w:w="3115" w:type="dxa"/>
            <w:tcBorders>
              <w:top w:val="nil"/>
              <w:left w:val="nil"/>
              <w:bottom w:val="single" w:color="auto" w:sz="4" w:space="0"/>
              <w:right w:val="single" w:color="auto" w:sz="4" w:space="0"/>
            </w:tcBorders>
            <w:shd w:val="clear" w:color="auto" w:fill="auto"/>
            <w:vAlign w:val="center"/>
          </w:tcPr>
          <w:p w14:paraId="568A1600">
            <w:pPr>
              <w:widowControl/>
              <w:jc w:val="left"/>
              <w:textAlignment w:val="center"/>
              <w:rPr>
                <w:rFonts w:hint="default" w:ascii="宋体" w:hAnsi="宋体" w:eastAsia="宋体" w:cs="宋体"/>
                <w:color w:val="000000"/>
                <w:kern w:val="2"/>
                <w:sz w:val="21"/>
                <w:szCs w:val="21"/>
                <w:lang w:val="en-US" w:eastAsia="zh-CN" w:bidi="ar-SA"/>
              </w:rPr>
            </w:pPr>
            <w:r>
              <w:rPr>
                <w:rStyle w:val="66"/>
                <w:rFonts w:hint="default"/>
                <w:sz w:val="21"/>
                <w:szCs w:val="21"/>
                <w:lang w:bidi="ar"/>
              </w:rPr>
              <w:t>满足 GB/T27930-20</w:t>
            </w:r>
            <w:r>
              <w:rPr>
                <w:rStyle w:val="66"/>
                <w:rFonts w:hint="eastAsia"/>
                <w:sz w:val="21"/>
                <w:szCs w:val="21"/>
                <w:lang w:val="en-US" w:eastAsia="zh-CN" w:bidi="ar"/>
              </w:rPr>
              <w:t>23</w:t>
            </w:r>
          </w:p>
        </w:tc>
        <w:tc>
          <w:tcPr>
            <w:tcW w:w="2866" w:type="dxa"/>
            <w:tcBorders>
              <w:top w:val="nil"/>
              <w:left w:val="nil"/>
              <w:bottom w:val="single" w:color="auto" w:sz="4" w:space="0"/>
              <w:right w:val="single" w:color="auto" w:sz="4" w:space="0"/>
            </w:tcBorders>
            <w:shd w:val="clear" w:color="auto" w:fill="auto"/>
            <w:vAlign w:val="center"/>
          </w:tcPr>
          <w:p w14:paraId="590BBFB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6A34556">
            <w:pPr>
              <w:widowControl/>
              <w:spacing w:line="560" w:lineRule="exact"/>
              <w:jc w:val="left"/>
              <w:rPr>
                <w:rFonts w:ascii="Times New Roman" w:hAnsi="Times New Roman" w:eastAsia="宋体" w:cs="Times New Roman"/>
                <w:kern w:val="0"/>
                <w:sz w:val="21"/>
                <w:szCs w:val="21"/>
              </w:rPr>
            </w:pPr>
          </w:p>
        </w:tc>
      </w:tr>
      <w:tr w14:paraId="736CE533">
        <w:tblPrEx>
          <w:tblCellMar>
            <w:top w:w="0" w:type="dxa"/>
            <w:left w:w="108" w:type="dxa"/>
            <w:bottom w:w="0" w:type="dxa"/>
            <w:right w:w="108" w:type="dxa"/>
          </w:tblCellMar>
        </w:tblPrEx>
        <w:trPr>
          <w:trHeight w:val="674"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1B785D1">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2</w:t>
            </w:r>
          </w:p>
        </w:tc>
        <w:tc>
          <w:tcPr>
            <w:tcW w:w="1569" w:type="dxa"/>
            <w:tcBorders>
              <w:top w:val="nil"/>
              <w:left w:val="nil"/>
              <w:bottom w:val="single" w:color="auto" w:sz="4" w:space="0"/>
              <w:right w:val="single" w:color="auto" w:sz="4" w:space="0"/>
            </w:tcBorders>
            <w:shd w:val="clear" w:color="auto" w:fill="auto"/>
            <w:vAlign w:val="center"/>
          </w:tcPr>
          <w:p w14:paraId="404D3432">
            <w:pPr>
              <w:widowControl/>
              <w:jc w:val="left"/>
              <w:textAlignment w:val="center"/>
              <w:rPr>
                <w:rFonts w:hint="eastAsia" w:ascii="宋体" w:hAnsi="宋体" w:eastAsia="宋体" w:cs="宋体"/>
                <w:color w:val="000000"/>
                <w:kern w:val="2"/>
                <w:sz w:val="21"/>
                <w:szCs w:val="21"/>
                <w:lang w:val="en-US" w:eastAsia="zh-CN" w:bidi="ar-SA"/>
              </w:rPr>
            </w:pPr>
            <w:r>
              <w:rPr>
                <w:rStyle w:val="66"/>
                <w:rFonts w:hint="default"/>
                <w:sz w:val="21"/>
                <w:szCs w:val="21"/>
                <w:lang w:bidi="ar"/>
              </w:rPr>
              <w:t>人机交互</w:t>
            </w:r>
          </w:p>
        </w:tc>
        <w:tc>
          <w:tcPr>
            <w:tcW w:w="3115" w:type="dxa"/>
            <w:tcBorders>
              <w:top w:val="nil"/>
              <w:left w:val="nil"/>
              <w:bottom w:val="single" w:color="auto" w:sz="4" w:space="0"/>
              <w:right w:val="single" w:color="auto" w:sz="4" w:space="0"/>
            </w:tcBorders>
            <w:shd w:val="clear" w:color="auto" w:fill="auto"/>
            <w:vAlign w:val="center"/>
          </w:tcPr>
          <w:p w14:paraId="1403D0B4">
            <w:pPr>
              <w:widowControl/>
              <w:jc w:val="left"/>
              <w:textAlignment w:val="center"/>
              <w:rPr>
                <w:rStyle w:val="66"/>
                <w:rFonts w:hint="default" w:ascii="宋体" w:hAnsi="宋体" w:eastAsia="宋体" w:cs="宋体"/>
                <w:b/>
                <w:bCs/>
                <w:color w:val="FF0000"/>
                <w:kern w:val="2"/>
                <w:sz w:val="21"/>
                <w:szCs w:val="21"/>
                <w:lang w:val="en-US" w:eastAsia="zh-CN" w:bidi="ar"/>
              </w:rPr>
            </w:pPr>
            <w:r>
              <w:rPr>
                <w:rStyle w:val="66"/>
                <w:rFonts w:hint="default"/>
                <w:color w:val="000000"/>
                <w:sz w:val="18"/>
                <w:szCs w:val="18"/>
                <w:lang w:bidi="ar"/>
              </w:rPr>
              <w:t>快充终端：显示屏</w:t>
            </w:r>
            <w:r>
              <w:rPr>
                <w:rStyle w:val="66"/>
                <w:rFonts w:hint="default"/>
                <w:b w:val="0"/>
                <w:bCs w:val="0"/>
                <w:color w:val="000000"/>
                <w:sz w:val="18"/>
                <w:szCs w:val="18"/>
                <w:lang w:bidi="ar"/>
              </w:rPr>
              <w:t>≥</w:t>
            </w:r>
            <w:r>
              <w:rPr>
                <w:rStyle w:val="66"/>
                <w:rFonts w:hint="default"/>
                <w:color w:val="000000"/>
                <w:sz w:val="18"/>
                <w:szCs w:val="18"/>
                <w:lang w:bidi="ar"/>
              </w:rPr>
              <w:t>7寸</w:t>
            </w:r>
            <w:r>
              <w:rPr>
                <w:rStyle w:val="66"/>
                <w:rFonts w:hint="default"/>
                <w:color w:val="000000"/>
                <w:lang w:bidi="ar"/>
              </w:rPr>
              <w:t>900nits高亮</w:t>
            </w:r>
            <w:r>
              <w:rPr>
                <w:rStyle w:val="66"/>
                <w:rFonts w:hint="default"/>
                <w:color w:val="000000"/>
                <w:sz w:val="18"/>
                <w:szCs w:val="18"/>
                <w:lang w:bidi="ar"/>
              </w:rPr>
              <w:t>触摸彩色屏，≥800*480分辨率</w:t>
            </w:r>
          </w:p>
        </w:tc>
        <w:tc>
          <w:tcPr>
            <w:tcW w:w="2866" w:type="dxa"/>
            <w:tcBorders>
              <w:top w:val="nil"/>
              <w:left w:val="nil"/>
              <w:bottom w:val="single" w:color="auto" w:sz="4" w:space="0"/>
              <w:right w:val="single" w:color="auto" w:sz="4" w:space="0"/>
            </w:tcBorders>
            <w:shd w:val="clear" w:color="auto" w:fill="auto"/>
            <w:vAlign w:val="center"/>
          </w:tcPr>
          <w:p w14:paraId="0C4145A2">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AEB04FF">
            <w:pPr>
              <w:widowControl/>
              <w:spacing w:line="560" w:lineRule="exact"/>
              <w:jc w:val="left"/>
              <w:rPr>
                <w:rFonts w:ascii="Times New Roman" w:hAnsi="Times New Roman" w:eastAsia="宋体" w:cs="Times New Roman"/>
                <w:kern w:val="0"/>
                <w:sz w:val="21"/>
                <w:szCs w:val="21"/>
              </w:rPr>
            </w:pPr>
          </w:p>
        </w:tc>
      </w:tr>
      <w:tr w14:paraId="439507F3">
        <w:tblPrEx>
          <w:tblCellMar>
            <w:top w:w="0" w:type="dxa"/>
            <w:left w:w="108" w:type="dxa"/>
            <w:bottom w:w="0" w:type="dxa"/>
            <w:right w:w="108" w:type="dxa"/>
          </w:tblCellMar>
        </w:tblPrEx>
        <w:trPr>
          <w:trHeight w:val="58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BE39E02">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3</w:t>
            </w:r>
          </w:p>
        </w:tc>
        <w:tc>
          <w:tcPr>
            <w:tcW w:w="1569" w:type="dxa"/>
            <w:tcBorders>
              <w:top w:val="nil"/>
              <w:left w:val="nil"/>
              <w:bottom w:val="single" w:color="auto" w:sz="4" w:space="0"/>
              <w:right w:val="single" w:color="auto" w:sz="4" w:space="0"/>
            </w:tcBorders>
            <w:shd w:val="clear" w:color="auto" w:fill="auto"/>
            <w:vAlign w:val="center"/>
          </w:tcPr>
          <w:p w14:paraId="7F0D7419">
            <w:pPr>
              <w:widowControl/>
              <w:jc w:val="left"/>
              <w:textAlignment w:val="center"/>
              <w:rPr>
                <w:rFonts w:ascii="Times New Roman" w:hAnsi="Times New Roman" w:eastAsia="宋体" w:cs="Times New Roman"/>
                <w:kern w:val="0"/>
                <w:sz w:val="21"/>
                <w:szCs w:val="21"/>
              </w:rPr>
            </w:pPr>
            <w:r>
              <w:rPr>
                <w:rStyle w:val="66"/>
                <w:rFonts w:hint="default"/>
                <w:lang w:bidi="ar"/>
              </w:rPr>
              <w:t>充电模式</w:t>
            </w:r>
          </w:p>
        </w:tc>
        <w:tc>
          <w:tcPr>
            <w:tcW w:w="3115" w:type="dxa"/>
            <w:tcBorders>
              <w:top w:val="nil"/>
              <w:left w:val="nil"/>
              <w:bottom w:val="single" w:color="auto" w:sz="4" w:space="0"/>
              <w:right w:val="single" w:color="auto" w:sz="4" w:space="0"/>
            </w:tcBorders>
            <w:shd w:val="clear" w:color="auto" w:fill="auto"/>
            <w:vAlign w:val="center"/>
          </w:tcPr>
          <w:p w14:paraId="42A1C0DA">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lang w:bidi="ar"/>
              </w:rPr>
              <w:t>满足 GB/T18487.1-20</w:t>
            </w:r>
            <w:r>
              <w:rPr>
                <w:rStyle w:val="66"/>
                <w:rFonts w:hint="default"/>
                <w:lang w:val="en-US" w:eastAsia="zh-CN" w:bidi="ar"/>
              </w:rPr>
              <w:t>23</w:t>
            </w:r>
            <w:r>
              <w:rPr>
                <w:rStyle w:val="66"/>
                <w:rFonts w:hint="default"/>
                <w:lang w:bidi="ar"/>
              </w:rPr>
              <w:t xml:space="preserve"> 中 5.1 规定的充电模式 4</w:t>
            </w:r>
          </w:p>
        </w:tc>
        <w:tc>
          <w:tcPr>
            <w:tcW w:w="2866" w:type="dxa"/>
            <w:tcBorders>
              <w:top w:val="nil"/>
              <w:left w:val="nil"/>
              <w:bottom w:val="single" w:color="auto" w:sz="4" w:space="0"/>
              <w:right w:val="single" w:color="auto" w:sz="4" w:space="0"/>
            </w:tcBorders>
            <w:shd w:val="clear" w:color="auto" w:fill="auto"/>
            <w:vAlign w:val="center"/>
          </w:tcPr>
          <w:p w14:paraId="3B7785A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CBA15C7">
            <w:pPr>
              <w:widowControl/>
              <w:spacing w:line="560" w:lineRule="exact"/>
              <w:jc w:val="left"/>
              <w:rPr>
                <w:rFonts w:ascii="Times New Roman" w:hAnsi="Times New Roman" w:eastAsia="宋体" w:cs="Times New Roman"/>
                <w:kern w:val="0"/>
                <w:sz w:val="21"/>
                <w:szCs w:val="21"/>
              </w:rPr>
            </w:pPr>
          </w:p>
        </w:tc>
      </w:tr>
      <w:tr w14:paraId="7D297BA6">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5AE8236">
            <w:pPr>
              <w:widowControl/>
              <w:spacing w:line="560" w:lineRule="exact"/>
              <w:jc w:val="center"/>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lang w:val="en-US" w:eastAsia="zh-CN"/>
              </w:rPr>
              <w:t>4</w:t>
            </w:r>
          </w:p>
        </w:tc>
        <w:tc>
          <w:tcPr>
            <w:tcW w:w="1569" w:type="dxa"/>
            <w:tcBorders>
              <w:top w:val="nil"/>
              <w:left w:val="nil"/>
              <w:bottom w:val="single" w:color="auto" w:sz="4" w:space="0"/>
              <w:right w:val="single" w:color="auto" w:sz="4" w:space="0"/>
            </w:tcBorders>
            <w:shd w:val="clear" w:color="auto" w:fill="auto"/>
            <w:vAlign w:val="center"/>
          </w:tcPr>
          <w:p w14:paraId="5B6C4AE0">
            <w:pPr>
              <w:widowControl/>
              <w:jc w:val="left"/>
              <w:textAlignment w:val="center"/>
              <w:rPr>
                <w:rFonts w:ascii="Times New Roman" w:hAnsi="Times New Roman" w:eastAsia="宋体" w:cs="Times New Roman"/>
                <w:kern w:val="0"/>
                <w:sz w:val="21"/>
                <w:szCs w:val="21"/>
              </w:rPr>
            </w:pPr>
            <w:r>
              <w:rPr>
                <w:rStyle w:val="66"/>
                <w:rFonts w:hint="default"/>
                <w:lang w:bidi="ar"/>
              </w:rPr>
              <w:t>远程升级</w:t>
            </w:r>
          </w:p>
        </w:tc>
        <w:tc>
          <w:tcPr>
            <w:tcW w:w="3115" w:type="dxa"/>
            <w:tcBorders>
              <w:top w:val="nil"/>
              <w:left w:val="nil"/>
              <w:bottom w:val="single" w:color="auto" w:sz="4" w:space="0"/>
              <w:right w:val="single" w:color="auto" w:sz="4" w:space="0"/>
            </w:tcBorders>
            <w:shd w:val="clear" w:color="auto" w:fill="auto"/>
            <w:vAlign w:val="center"/>
          </w:tcPr>
          <w:p w14:paraId="2D76EF2D">
            <w:pPr>
              <w:widowControl/>
              <w:jc w:val="left"/>
              <w:textAlignment w:val="center"/>
              <w:rPr>
                <w:rStyle w:val="66"/>
                <w:rFonts w:hint="default" w:ascii="宋体" w:hAnsi="宋体" w:eastAsia="宋体" w:cs="宋体"/>
                <w:color w:val="000000"/>
                <w:kern w:val="2"/>
                <w:sz w:val="21"/>
                <w:szCs w:val="21"/>
                <w:lang w:val="en-US" w:eastAsia="zh-CN" w:bidi="ar"/>
              </w:rPr>
            </w:pPr>
            <w:r>
              <w:rPr>
                <w:rStyle w:val="66"/>
                <w:rFonts w:hint="default"/>
                <w:lang w:bidi="ar"/>
              </w:rPr>
              <w:t>支持远程升级</w:t>
            </w:r>
          </w:p>
        </w:tc>
        <w:tc>
          <w:tcPr>
            <w:tcW w:w="2866" w:type="dxa"/>
            <w:tcBorders>
              <w:top w:val="nil"/>
              <w:left w:val="nil"/>
              <w:bottom w:val="single" w:color="auto" w:sz="4" w:space="0"/>
              <w:right w:val="single" w:color="auto" w:sz="4" w:space="0"/>
            </w:tcBorders>
            <w:shd w:val="clear" w:color="auto" w:fill="auto"/>
            <w:vAlign w:val="center"/>
          </w:tcPr>
          <w:p w14:paraId="01BDFBC4">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6819F90">
            <w:pPr>
              <w:widowControl/>
              <w:spacing w:line="560" w:lineRule="exact"/>
              <w:jc w:val="left"/>
              <w:rPr>
                <w:rFonts w:ascii="Times New Roman" w:hAnsi="Times New Roman" w:eastAsia="宋体" w:cs="Times New Roman"/>
                <w:kern w:val="0"/>
                <w:sz w:val="21"/>
                <w:szCs w:val="21"/>
              </w:rPr>
            </w:pPr>
          </w:p>
        </w:tc>
      </w:tr>
      <w:tr w14:paraId="6BBEB4FA">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00516CC">
            <w:pPr>
              <w:widowControl/>
              <w:spacing w:line="560" w:lineRule="exact"/>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25</w:t>
            </w:r>
          </w:p>
        </w:tc>
        <w:tc>
          <w:tcPr>
            <w:tcW w:w="1569" w:type="dxa"/>
            <w:tcBorders>
              <w:top w:val="nil"/>
              <w:left w:val="nil"/>
              <w:bottom w:val="single" w:color="auto" w:sz="4" w:space="0"/>
              <w:right w:val="single" w:color="auto" w:sz="4" w:space="0"/>
            </w:tcBorders>
            <w:shd w:val="clear" w:color="auto" w:fill="auto"/>
            <w:vAlign w:val="center"/>
          </w:tcPr>
          <w:p w14:paraId="4E9CDFF3">
            <w:pPr>
              <w:widowControl/>
              <w:jc w:val="left"/>
              <w:textAlignment w:val="center"/>
              <w:rPr>
                <w:rStyle w:val="66"/>
                <w:rFonts w:hint="default" w:eastAsia="宋体"/>
                <w:lang w:val="en-US" w:eastAsia="zh-CN" w:bidi="ar"/>
              </w:rPr>
            </w:pPr>
            <w:r>
              <w:rPr>
                <w:rStyle w:val="66"/>
                <w:rFonts w:hint="eastAsia"/>
                <w:lang w:val="en-US" w:eastAsia="zh-CN" w:bidi="ar"/>
              </w:rPr>
              <w:t>串口通信</w:t>
            </w:r>
          </w:p>
        </w:tc>
        <w:tc>
          <w:tcPr>
            <w:tcW w:w="3115" w:type="dxa"/>
            <w:tcBorders>
              <w:top w:val="nil"/>
              <w:left w:val="nil"/>
              <w:bottom w:val="single" w:color="auto" w:sz="4" w:space="0"/>
              <w:right w:val="single" w:color="auto" w:sz="4" w:space="0"/>
            </w:tcBorders>
            <w:shd w:val="clear" w:color="auto" w:fill="auto"/>
            <w:vAlign w:val="center"/>
          </w:tcPr>
          <w:p w14:paraId="14BC5323">
            <w:pPr>
              <w:widowControl/>
              <w:jc w:val="left"/>
              <w:textAlignment w:val="center"/>
              <w:rPr>
                <w:rStyle w:val="66"/>
                <w:rFonts w:hint="default" w:eastAsia="宋体"/>
                <w:lang w:val="en-US" w:eastAsia="zh-CN" w:bidi="ar"/>
              </w:rPr>
            </w:pPr>
            <w:r>
              <w:rPr>
                <w:rStyle w:val="66"/>
                <w:rFonts w:hint="default"/>
                <w:lang w:val="en-US" w:eastAsia="zh-CN" w:bidi="ar"/>
              </w:rPr>
              <w:t>支持</w:t>
            </w:r>
          </w:p>
        </w:tc>
        <w:tc>
          <w:tcPr>
            <w:tcW w:w="2866" w:type="dxa"/>
            <w:tcBorders>
              <w:top w:val="nil"/>
              <w:left w:val="nil"/>
              <w:bottom w:val="single" w:color="auto" w:sz="4" w:space="0"/>
              <w:right w:val="single" w:color="auto" w:sz="4" w:space="0"/>
            </w:tcBorders>
            <w:shd w:val="clear" w:color="auto" w:fill="auto"/>
            <w:vAlign w:val="center"/>
          </w:tcPr>
          <w:p w14:paraId="7935651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1C1B271">
            <w:pPr>
              <w:widowControl/>
              <w:spacing w:line="560" w:lineRule="exact"/>
              <w:jc w:val="left"/>
              <w:rPr>
                <w:rFonts w:ascii="Times New Roman" w:hAnsi="Times New Roman" w:eastAsia="宋体" w:cs="Times New Roman"/>
                <w:kern w:val="0"/>
                <w:sz w:val="21"/>
                <w:szCs w:val="21"/>
              </w:rPr>
            </w:pPr>
          </w:p>
        </w:tc>
      </w:tr>
      <w:tr w14:paraId="6288F800">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20206B7">
            <w:pPr>
              <w:widowControl/>
              <w:spacing w:line="560" w:lineRule="exact"/>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6</w:t>
            </w:r>
          </w:p>
        </w:tc>
        <w:tc>
          <w:tcPr>
            <w:tcW w:w="1569" w:type="dxa"/>
            <w:tcBorders>
              <w:top w:val="nil"/>
              <w:left w:val="nil"/>
              <w:bottom w:val="single" w:color="auto" w:sz="4" w:space="0"/>
              <w:right w:val="single" w:color="auto" w:sz="4" w:space="0"/>
            </w:tcBorders>
            <w:shd w:val="clear" w:color="auto" w:fill="auto"/>
            <w:vAlign w:val="center"/>
          </w:tcPr>
          <w:p w14:paraId="6563C034">
            <w:pPr>
              <w:widowControl/>
              <w:jc w:val="left"/>
              <w:textAlignment w:val="center"/>
              <w:rPr>
                <w:rFonts w:hint="eastAsia" w:ascii="Times New Roman" w:hAnsi="Times New Roman" w:eastAsia="宋体" w:cs="Times New Roman"/>
                <w:kern w:val="0"/>
                <w:sz w:val="21"/>
                <w:szCs w:val="21"/>
              </w:rPr>
            </w:pPr>
            <w:r>
              <w:rPr>
                <w:rStyle w:val="66"/>
                <w:rFonts w:hint="default"/>
                <w:lang w:bidi="ar"/>
              </w:rPr>
              <w:t>输入保护</w:t>
            </w:r>
          </w:p>
        </w:tc>
        <w:tc>
          <w:tcPr>
            <w:tcW w:w="3115" w:type="dxa"/>
            <w:tcBorders>
              <w:top w:val="nil"/>
              <w:left w:val="nil"/>
              <w:bottom w:val="single" w:color="auto" w:sz="4" w:space="0"/>
              <w:right w:val="single" w:color="auto" w:sz="4" w:space="0"/>
            </w:tcBorders>
            <w:shd w:val="clear" w:color="auto" w:fill="auto"/>
            <w:vAlign w:val="center"/>
          </w:tcPr>
          <w:p w14:paraId="43141685">
            <w:pPr>
              <w:widowControl/>
              <w:jc w:val="left"/>
              <w:textAlignment w:val="center"/>
              <w:rPr>
                <w:rStyle w:val="66"/>
                <w:color w:val="auto"/>
                <w:sz w:val="21"/>
                <w:szCs w:val="21"/>
                <w:lang w:bidi="ar"/>
              </w:rPr>
            </w:pPr>
            <w:r>
              <w:rPr>
                <w:rStyle w:val="66"/>
                <w:rFonts w:hint="default"/>
                <w:lang w:bidi="ar"/>
              </w:rPr>
              <w:t>输入过欠压保护</w:t>
            </w:r>
          </w:p>
        </w:tc>
        <w:tc>
          <w:tcPr>
            <w:tcW w:w="2866" w:type="dxa"/>
            <w:tcBorders>
              <w:top w:val="nil"/>
              <w:left w:val="nil"/>
              <w:bottom w:val="single" w:color="auto" w:sz="4" w:space="0"/>
              <w:right w:val="single" w:color="auto" w:sz="4" w:space="0"/>
            </w:tcBorders>
            <w:shd w:val="clear" w:color="auto" w:fill="auto"/>
            <w:vAlign w:val="center"/>
          </w:tcPr>
          <w:p w14:paraId="0F19A77F">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70B92995">
            <w:pPr>
              <w:widowControl/>
              <w:spacing w:line="560" w:lineRule="exact"/>
              <w:jc w:val="left"/>
              <w:rPr>
                <w:rFonts w:ascii="Times New Roman" w:hAnsi="Times New Roman" w:eastAsia="宋体" w:cs="Times New Roman"/>
                <w:kern w:val="0"/>
                <w:sz w:val="21"/>
                <w:szCs w:val="21"/>
              </w:rPr>
            </w:pPr>
          </w:p>
        </w:tc>
      </w:tr>
      <w:tr w14:paraId="7CEB0F42">
        <w:tblPrEx>
          <w:tblCellMar>
            <w:top w:w="0" w:type="dxa"/>
            <w:left w:w="108" w:type="dxa"/>
            <w:bottom w:w="0" w:type="dxa"/>
            <w:right w:w="108" w:type="dxa"/>
          </w:tblCellMar>
        </w:tblPrEx>
        <w:trPr>
          <w:trHeight w:val="868"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B691695">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7</w:t>
            </w:r>
          </w:p>
        </w:tc>
        <w:tc>
          <w:tcPr>
            <w:tcW w:w="1569" w:type="dxa"/>
            <w:tcBorders>
              <w:top w:val="nil"/>
              <w:left w:val="nil"/>
              <w:bottom w:val="single" w:color="auto" w:sz="4" w:space="0"/>
              <w:right w:val="single" w:color="auto" w:sz="4" w:space="0"/>
            </w:tcBorders>
            <w:shd w:val="clear" w:color="auto" w:fill="auto"/>
            <w:vAlign w:val="center"/>
          </w:tcPr>
          <w:p w14:paraId="328AEE8C">
            <w:pPr>
              <w:widowControl/>
              <w:jc w:val="left"/>
              <w:textAlignment w:val="center"/>
              <w:rPr>
                <w:rFonts w:hint="eastAsia" w:ascii="Times New Roman" w:hAnsi="Times New Roman" w:eastAsia="宋体" w:cs="Times New Roman"/>
                <w:kern w:val="0"/>
                <w:sz w:val="21"/>
                <w:szCs w:val="21"/>
              </w:rPr>
            </w:pPr>
            <w:r>
              <w:rPr>
                <w:rStyle w:val="66"/>
                <w:rFonts w:hint="default"/>
                <w:lang w:bidi="ar"/>
              </w:rPr>
              <w:t>输出保护</w:t>
            </w:r>
          </w:p>
        </w:tc>
        <w:tc>
          <w:tcPr>
            <w:tcW w:w="3115" w:type="dxa"/>
            <w:tcBorders>
              <w:top w:val="nil"/>
              <w:left w:val="nil"/>
              <w:bottom w:val="single" w:color="auto" w:sz="4" w:space="0"/>
              <w:right w:val="single" w:color="auto" w:sz="4" w:space="0"/>
            </w:tcBorders>
            <w:shd w:val="clear" w:color="auto" w:fill="auto"/>
            <w:vAlign w:val="center"/>
          </w:tcPr>
          <w:p w14:paraId="5CE80BFF">
            <w:pPr>
              <w:widowControl/>
              <w:jc w:val="left"/>
              <w:textAlignment w:val="center"/>
              <w:rPr>
                <w:rStyle w:val="66"/>
                <w:color w:val="auto"/>
                <w:sz w:val="21"/>
                <w:szCs w:val="21"/>
                <w:lang w:bidi="ar"/>
              </w:rPr>
            </w:pPr>
            <w:r>
              <w:rPr>
                <w:rStyle w:val="66"/>
                <w:rFonts w:hint="default"/>
                <w:lang w:bidi="ar"/>
              </w:rPr>
              <w:t>过压保护、过流保护、短路保护、电池反接保护（或输出反接保护）、 绝缘保护（或绝缘检测）</w:t>
            </w:r>
          </w:p>
        </w:tc>
        <w:tc>
          <w:tcPr>
            <w:tcW w:w="2866" w:type="dxa"/>
            <w:tcBorders>
              <w:top w:val="nil"/>
              <w:left w:val="nil"/>
              <w:bottom w:val="single" w:color="auto" w:sz="4" w:space="0"/>
              <w:right w:val="single" w:color="auto" w:sz="4" w:space="0"/>
            </w:tcBorders>
            <w:shd w:val="clear" w:color="auto" w:fill="auto"/>
            <w:vAlign w:val="center"/>
          </w:tcPr>
          <w:p w14:paraId="4DB1D84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B24FC50">
            <w:pPr>
              <w:widowControl/>
              <w:spacing w:line="560" w:lineRule="exact"/>
              <w:jc w:val="left"/>
              <w:rPr>
                <w:rFonts w:ascii="Times New Roman" w:hAnsi="Times New Roman" w:eastAsia="宋体" w:cs="Times New Roman"/>
                <w:kern w:val="0"/>
                <w:sz w:val="21"/>
                <w:szCs w:val="21"/>
              </w:rPr>
            </w:pPr>
          </w:p>
        </w:tc>
      </w:tr>
      <w:tr w14:paraId="212B105D">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2FFB219">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8</w:t>
            </w:r>
          </w:p>
        </w:tc>
        <w:tc>
          <w:tcPr>
            <w:tcW w:w="1569" w:type="dxa"/>
            <w:tcBorders>
              <w:top w:val="nil"/>
              <w:left w:val="nil"/>
              <w:bottom w:val="single" w:color="auto" w:sz="4" w:space="0"/>
              <w:right w:val="single" w:color="auto" w:sz="4" w:space="0"/>
            </w:tcBorders>
            <w:shd w:val="clear" w:color="auto" w:fill="auto"/>
            <w:vAlign w:val="center"/>
          </w:tcPr>
          <w:p w14:paraId="3A9E929B">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过温保护</w:t>
            </w:r>
          </w:p>
        </w:tc>
        <w:tc>
          <w:tcPr>
            <w:tcW w:w="3115" w:type="dxa"/>
            <w:tcBorders>
              <w:top w:val="nil"/>
              <w:left w:val="nil"/>
              <w:bottom w:val="single" w:color="auto" w:sz="4" w:space="0"/>
              <w:right w:val="single" w:color="auto" w:sz="4" w:space="0"/>
            </w:tcBorders>
            <w:shd w:val="clear" w:color="auto" w:fill="auto"/>
            <w:vAlign w:val="center"/>
          </w:tcPr>
          <w:p w14:paraId="27CCE58F">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过温保护</w:t>
            </w:r>
          </w:p>
        </w:tc>
        <w:tc>
          <w:tcPr>
            <w:tcW w:w="2866" w:type="dxa"/>
            <w:tcBorders>
              <w:top w:val="nil"/>
              <w:left w:val="nil"/>
              <w:bottom w:val="single" w:color="auto" w:sz="4" w:space="0"/>
              <w:right w:val="single" w:color="auto" w:sz="4" w:space="0"/>
            </w:tcBorders>
            <w:shd w:val="clear" w:color="auto" w:fill="auto"/>
            <w:vAlign w:val="center"/>
          </w:tcPr>
          <w:p w14:paraId="33A64473">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1801131">
            <w:pPr>
              <w:widowControl/>
              <w:spacing w:line="560" w:lineRule="exact"/>
              <w:jc w:val="left"/>
              <w:rPr>
                <w:rFonts w:ascii="Times New Roman" w:hAnsi="Times New Roman" w:eastAsia="宋体" w:cs="Times New Roman"/>
                <w:kern w:val="0"/>
                <w:sz w:val="21"/>
                <w:szCs w:val="21"/>
              </w:rPr>
            </w:pPr>
          </w:p>
        </w:tc>
      </w:tr>
      <w:tr w14:paraId="646BD658">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814CD6C">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r>
              <w:rPr>
                <w:rFonts w:hint="eastAsia" w:cs="Times New Roman"/>
                <w:kern w:val="0"/>
                <w:sz w:val="21"/>
                <w:szCs w:val="21"/>
                <w:lang w:val="en-US" w:eastAsia="zh-CN"/>
              </w:rPr>
              <w:t>9</w:t>
            </w:r>
          </w:p>
        </w:tc>
        <w:tc>
          <w:tcPr>
            <w:tcW w:w="1569" w:type="dxa"/>
            <w:tcBorders>
              <w:top w:val="nil"/>
              <w:left w:val="nil"/>
              <w:bottom w:val="single" w:color="auto" w:sz="4" w:space="0"/>
              <w:right w:val="single" w:color="auto" w:sz="4" w:space="0"/>
            </w:tcBorders>
            <w:shd w:val="clear" w:color="auto" w:fill="auto"/>
            <w:vAlign w:val="center"/>
          </w:tcPr>
          <w:p w14:paraId="1F21EE6C">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其它保护</w:t>
            </w:r>
          </w:p>
        </w:tc>
        <w:tc>
          <w:tcPr>
            <w:tcW w:w="3115" w:type="dxa"/>
            <w:tcBorders>
              <w:top w:val="nil"/>
              <w:left w:val="nil"/>
              <w:bottom w:val="single" w:color="auto" w:sz="4" w:space="0"/>
              <w:right w:val="single" w:color="auto" w:sz="4" w:space="0"/>
            </w:tcBorders>
            <w:shd w:val="clear" w:color="auto" w:fill="auto"/>
            <w:vAlign w:val="center"/>
          </w:tcPr>
          <w:p w14:paraId="7A613D07">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开门保护</w:t>
            </w:r>
            <w:r>
              <w:rPr>
                <w:rStyle w:val="66"/>
                <w:rFonts w:hint="default"/>
                <w:lang w:eastAsia="zh-CN" w:bidi="ar"/>
              </w:rPr>
              <w:t>、</w:t>
            </w:r>
            <w:r>
              <w:rPr>
                <w:rStyle w:val="66"/>
                <w:rFonts w:hint="default"/>
                <w:lang w:bidi="ar"/>
              </w:rPr>
              <w:t>倾倒保护</w:t>
            </w:r>
          </w:p>
        </w:tc>
        <w:tc>
          <w:tcPr>
            <w:tcW w:w="2866" w:type="dxa"/>
            <w:tcBorders>
              <w:top w:val="nil"/>
              <w:left w:val="nil"/>
              <w:bottom w:val="single" w:color="auto" w:sz="4" w:space="0"/>
              <w:right w:val="single" w:color="auto" w:sz="4" w:space="0"/>
            </w:tcBorders>
            <w:shd w:val="clear" w:color="auto" w:fill="auto"/>
            <w:vAlign w:val="center"/>
          </w:tcPr>
          <w:p w14:paraId="4AA71AA2">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35F02E02">
            <w:pPr>
              <w:widowControl/>
              <w:spacing w:line="560" w:lineRule="exact"/>
              <w:jc w:val="left"/>
              <w:rPr>
                <w:rFonts w:ascii="Times New Roman" w:hAnsi="Times New Roman" w:eastAsia="宋体" w:cs="Times New Roman"/>
                <w:kern w:val="0"/>
                <w:sz w:val="21"/>
                <w:szCs w:val="21"/>
              </w:rPr>
            </w:pPr>
          </w:p>
        </w:tc>
      </w:tr>
      <w:tr w14:paraId="40A748FF">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0297100">
            <w:pPr>
              <w:widowControl/>
              <w:spacing w:line="560" w:lineRule="exact"/>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30</w:t>
            </w:r>
          </w:p>
        </w:tc>
        <w:tc>
          <w:tcPr>
            <w:tcW w:w="1569" w:type="dxa"/>
            <w:tcBorders>
              <w:top w:val="nil"/>
              <w:left w:val="nil"/>
              <w:bottom w:val="single" w:color="auto" w:sz="4" w:space="0"/>
              <w:right w:val="single" w:color="auto" w:sz="4" w:space="0"/>
            </w:tcBorders>
            <w:shd w:val="clear" w:color="auto" w:fill="auto"/>
            <w:vAlign w:val="center"/>
          </w:tcPr>
          <w:p w14:paraId="453A4438">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防雷</w:t>
            </w:r>
          </w:p>
        </w:tc>
        <w:tc>
          <w:tcPr>
            <w:tcW w:w="3115" w:type="dxa"/>
            <w:tcBorders>
              <w:top w:val="nil"/>
              <w:left w:val="nil"/>
              <w:bottom w:val="single" w:color="auto" w:sz="4" w:space="0"/>
              <w:right w:val="single" w:color="auto" w:sz="4" w:space="0"/>
            </w:tcBorders>
            <w:shd w:val="clear" w:color="auto" w:fill="auto"/>
            <w:vAlign w:val="center"/>
          </w:tcPr>
          <w:p w14:paraId="38A3A584">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具备</w:t>
            </w:r>
          </w:p>
        </w:tc>
        <w:tc>
          <w:tcPr>
            <w:tcW w:w="2866" w:type="dxa"/>
            <w:tcBorders>
              <w:top w:val="nil"/>
              <w:left w:val="nil"/>
              <w:bottom w:val="single" w:color="auto" w:sz="4" w:space="0"/>
              <w:right w:val="single" w:color="auto" w:sz="4" w:space="0"/>
            </w:tcBorders>
            <w:shd w:val="clear" w:color="auto" w:fill="auto"/>
            <w:vAlign w:val="center"/>
          </w:tcPr>
          <w:p w14:paraId="3DDC3E6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4209B3D1">
            <w:pPr>
              <w:widowControl/>
              <w:spacing w:line="560" w:lineRule="exact"/>
              <w:jc w:val="left"/>
              <w:rPr>
                <w:rFonts w:ascii="Times New Roman" w:hAnsi="Times New Roman" w:eastAsia="宋体" w:cs="Times New Roman"/>
                <w:kern w:val="0"/>
                <w:sz w:val="21"/>
                <w:szCs w:val="21"/>
              </w:rPr>
            </w:pPr>
          </w:p>
        </w:tc>
      </w:tr>
      <w:tr w14:paraId="5C5CC2EC">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1501F2E">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1</w:t>
            </w:r>
          </w:p>
        </w:tc>
        <w:tc>
          <w:tcPr>
            <w:tcW w:w="1569" w:type="dxa"/>
            <w:tcBorders>
              <w:top w:val="nil"/>
              <w:left w:val="nil"/>
              <w:bottom w:val="single" w:color="auto" w:sz="4" w:space="0"/>
              <w:right w:val="single" w:color="auto" w:sz="4" w:space="0"/>
            </w:tcBorders>
            <w:shd w:val="clear" w:color="auto" w:fill="auto"/>
            <w:vAlign w:val="center"/>
          </w:tcPr>
          <w:p w14:paraId="55A63A94">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接地</w:t>
            </w:r>
          </w:p>
        </w:tc>
        <w:tc>
          <w:tcPr>
            <w:tcW w:w="3115" w:type="dxa"/>
            <w:tcBorders>
              <w:top w:val="nil"/>
              <w:left w:val="nil"/>
              <w:bottom w:val="single" w:color="auto" w:sz="4" w:space="0"/>
              <w:right w:val="single" w:color="auto" w:sz="4" w:space="0"/>
            </w:tcBorders>
            <w:shd w:val="clear" w:color="auto" w:fill="auto"/>
            <w:vAlign w:val="center"/>
          </w:tcPr>
          <w:p w14:paraId="4195271F">
            <w:pPr>
              <w:widowControl/>
              <w:jc w:val="left"/>
              <w:textAlignment w:val="center"/>
              <w:rPr>
                <w:rFonts w:hint="eastAsia" w:ascii="宋体" w:hAnsi="宋体" w:eastAsia="宋体" w:cs="宋体"/>
                <w:color w:val="000000"/>
                <w:kern w:val="2"/>
                <w:sz w:val="18"/>
                <w:szCs w:val="18"/>
                <w:lang w:val="en-US" w:eastAsia="zh-CN" w:bidi="ar-SA"/>
              </w:rPr>
            </w:pPr>
            <w:r>
              <w:rPr>
                <w:rStyle w:val="66"/>
                <w:rFonts w:hint="default"/>
                <w:lang w:bidi="ar"/>
              </w:rPr>
              <w:t>具备</w:t>
            </w:r>
          </w:p>
        </w:tc>
        <w:tc>
          <w:tcPr>
            <w:tcW w:w="2866" w:type="dxa"/>
            <w:tcBorders>
              <w:top w:val="nil"/>
              <w:left w:val="nil"/>
              <w:bottom w:val="single" w:color="auto" w:sz="4" w:space="0"/>
              <w:right w:val="single" w:color="auto" w:sz="4" w:space="0"/>
            </w:tcBorders>
            <w:shd w:val="clear" w:color="auto" w:fill="auto"/>
            <w:vAlign w:val="center"/>
          </w:tcPr>
          <w:p w14:paraId="5BEE803F">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0477DD10">
            <w:pPr>
              <w:widowControl/>
              <w:spacing w:line="560" w:lineRule="exact"/>
              <w:jc w:val="left"/>
              <w:rPr>
                <w:rFonts w:ascii="Times New Roman" w:hAnsi="Times New Roman" w:eastAsia="宋体" w:cs="Times New Roman"/>
                <w:kern w:val="0"/>
                <w:sz w:val="21"/>
                <w:szCs w:val="21"/>
              </w:rPr>
            </w:pPr>
          </w:p>
        </w:tc>
      </w:tr>
      <w:tr w14:paraId="03CB3FE5">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F10681A">
            <w:pPr>
              <w:widowControl/>
              <w:spacing w:line="560" w:lineRule="exact"/>
              <w:jc w:val="center"/>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2</w:t>
            </w:r>
          </w:p>
        </w:tc>
        <w:tc>
          <w:tcPr>
            <w:tcW w:w="1569" w:type="dxa"/>
            <w:tcBorders>
              <w:top w:val="nil"/>
              <w:left w:val="nil"/>
              <w:bottom w:val="single" w:color="auto" w:sz="4" w:space="0"/>
              <w:right w:val="single" w:color="auto" w:sz="4" w:space="0"/>
            </w:tcBorders>
            <w:shd w:val="clear" w:color="auto" w:fill="auto"/>
            <w:vAlign w:val="center"/>
          </w:tcPr>
          <w:p w14:paraId="6C5DC6E7">
            <w:pPr>
              <w:widowControl/>
              <w:jc w:val="left"/>
              <w:textAlignment w:val="center"/>
              <w:rPr>
                <w:rFonts w:hint="eastAsia" w:ascii="宋体" w:hAnsi="宋体" w:eastAsia="宋体" w:cs="宋体"/>
                <w:color w:val="000000"/>
                <w:kern w:val="2"/>
                <w:sz w:val="18"/>
                <w:szCs w:val="18"/>
              </w:rPr>
            </w:pPr>
            <w:r>
              <w:rPr>
                <w:rStyle w:val="66"/>
                <w:rFonts w:hint="default"/>
                <w:lang w:bidi="ar"/>
              </w:rPr>
              <w:t>计量</w:t>
            </w:r>
          </w:p>
        </w:tc>
        <w:tc>
          <w:tcPr>
            <w:tcW w:w="3115" w:type="dxa"/>
            <w:tcBorders>
              <w:top w:val="nil"/>
              <w:left w:val="nil"/>
              <w:bottom w:val="single" w:color="auto" w:sz="4" w:space="0"/>
              <w:right w:val="single" w:color="auto" w:sz="4" w:space="0"/>
            </w:tcBorders>
            <w:shd w:val="clear" w:color="auto" w:fill="auto"/>
            <w:vAlign w:val="center"/>
          </w:tcPr>
          <w:p w14:paraId="45FA0BB3">
            <w:pPr>
              <w:widowControl/>
              <w:jc w:val="left"/>
              <w:textAlignment w:val="center"/>
              <w:rPr>
                <w:rStyle w:val="66"/>
                <w:rFonts w:ascii="宋体" w:hAnsi="宋体" w:cs="宋体"/>
                <w:color w:val="000000"/>
                <w:sz w:val="18"/>
                <w:szCs w:val="18"/>
                <w:lang w:bidi="ar-SA"/>
              </w:rPr>
            </w:pPr>
            <w:r>
              <w:rPr>
                <w:rStyle w:val="66"/>
                <w:rFonts w:hint="default"/>
                <w:lang w:bidi="ar"/>
              </w:rPr>
              <w:t>独立直流计量</w:t>
            </w:r>
          </w:p>
        </w:tc>
        <w:tc>
          <w:tcPr>
            <w:tcW w:w="2866" w:type="dxa"/>
            <w:tcBorders>
              <w:top w:val="nil"/>
              <w:left w:val="nil"/>
              <w:bottom w:val="single" w:color="auto" w:sz="4" w:space="0"/>
              <w:right w:val="single" w:color="auto" w:sz="4" w:space="0"/>
            </w:tcBorders>
            <w:shd w:val="clear" w:color="auto" w:fill="auto"/>
            <w:vAlign w:val="center"/>
          </w:tcPr>
          <w:p w14:paraId="5CBF7398">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2AC21EFD">
            <w:pPr>
              <w:widowControl/>
              <w:spacing w:line="560" w:lineRule="exact"/>
              <w:jc w:val="left"/>
              <w:rPr>
                <w:rFonts w:ascii="Times New Roman" w:hAnsi="Times New Roman" w:eastAsia="宋体" w:cs="Times New Roman"/>
                <w:kern w:val="0"/>
                <w:sz w:val="21"/>
                <w:szCs w:val="21"/>
              </w:rPr>
            </w:pPr>
          </w:p>
        </w:tc>
      </w:tr>
      <w:tr w14:paraId="4A368C66">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9ED1B98">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3</w:t>
            </w:r>
          </w:p>
        </w:tc>
        <w:tc>
          <w:tcPr>
            <w:tcW w:w="1569" w:type="dxa"/>
            <w:tcBorders>
              <w:top w:val="nil"/>
              <w:left w:val="nil"/>
              <w:bottom w:val="single" w:color="auto" w:sz="4" w:space="0"/>
              <w:right w:val="single" w:color="auto" w:sz="4" w:space="0"/>
            </w:tcBorders>
            <w:shd w:val="clear" w:color="auto" w:fill="auto"/>
            <w:vAlign w:val="center"/>
          </w:tcPr>
          <w:p w14:paraId="583AEDE7">
            <w:pPr>
              <w:widowControl/>
              <w:jc w:val="left"/>
              <w:textAlignment w:val="center"/>
              <w:rPr>
                <w:rStyle w:val="66"/>
                <w:rFonts w:hint="default"/>
                <w:lang w:bidi="ar"/>
              </w:rPr>
            </w:pPr>
            <w:r>
              <w:rPr>
                <w:rStyle w:val="66"/>
                <w:rFonts w:hint="default"/>
                <w:lang w:bidi="ar"/>
              </w:rPr>
              <w:t>BMS数据异常</w:t>
            </w:r>
          </w:p>
        </w:tc>
        <w:tc>
          <w:tcPr>
            <w:tcW w:w="3115" w:type="dxa"/>
            <w:tcBorders>
              <w:top w:val="nil"/>
              <w:left w:val="nil"/>
              <w:bottom w:val="single" w:color="auto" w:sz="4" w:space="0"/>
              <w:right w:val="single" w:color="auto" w:sz="4" w:space="0"/>
            </w:tcBorders>
            <w:shd w:val="clear" w:color="auto" w:fill="auto"/>
            <w:vAlign w:val="center"/>
          </w:tcPr>
          <w:p w14:paraId="1BC0F7DB">
            <w:pPr>
              <w:widowControl/>
              <w:jc w:val="left"/>
              <w:textAlignment w:val="center"/>
              <w:rPr>
                <w:rStyle w:val="66"/>
                <w:rFonts w:hint="default"/>
                <w:lang w:bidi="ar"/>
              </w:rPr>
            </w:pPr>
            <w:r>
              <w:rPr>
                <w:rStyle w:val="66"/>
                <w:rFonts w:hint="default"/>
                <w:lang w:bidi="ar"/>
              </w:rPr>
              <w:t>告警或保护</w:t>
            </w:r>
          </w:p>
        </w:tc>
        <w:tc>
          <w:tcPr>
            <w:tcW w:w="2866" w:type="dxa"/>
            <w:tcBorders>
              <w:top w:val="nil"/>
              <w:left w:val="nil"/>
              <w:bottom w:val="single" w:color="auto" w:sz="4" w:space="0"/>
              <w:right w:val="single" w:color="auto" w:sz="4" w:space="0"/>
            </w:tcBorders>
            <w:shd w:val="clear" w:color="auto" w:fill="auto"/>
            <w:vAlign w:val="center"/>
          </w:tcPr>
          <w:p w14:paraId="1B89C88E">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9BB1BD6">
            <w:pPr>
              <w:widowControl/>
              <w:spacing w:line="560" w:lineRule="exact"/>
              <w:jc w:val="left"/>
              <w:rPr>
                <w:rFonts w:ascii="Times New Roman" w:hAnsi="Times New Roman" w:eastAsia="宋体" w:cs="Times New Roman"/>
                <w:kern w:val="0"/>
                <w:sz w:val="21"/>
                <w:szCs w:val="21"/>
              </w:rPr>
            </w:pPr>
          </w:p>
        </w:tc>
      </w:tr>
      <w:tr w14:paraId="61DC7172">
        <w:tblPrEx>
          <w:tblCellMar>
            <w:top w:w="0" w:type="dxa"/>
            <w:left w:w="108" w:type="dxa"/>
            <w:bottom w:w="0" w:type="dxa"/>
            <w:right w:w="108" w:type="dxa"/>
          </w:tblCellMar>
        </w:tblPrEx>
        <w:trPr>
          <w:trHeight w:val="523"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79E1F21">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4</w:t>
            </w:r>
          </w:p>
        </w:tc>
        <w:tc>
          <w:tcPr>
            <w:tcW w:w="1569" w:type="dxa"/>
            <w:tcBorders>
              <w:top w:val="nil"/>
              <w:left w:val="nil"/>
              <w:bottom w:val="single" w:color="auto" w:sz="4" w:space="0"/>
              <w:right w:val="single" w:color="auto" w:sz="4" w:space="0"/>
            </w:tcBorders>
            <w:shd w:val="clear" w:color="auto" w:fill="auto"/>
            <w:vAlign w:val="center"/>
          </w:tcPr>
          <w:p w14:paraId="2B8962F4">
            <w:pPr>
              <w:widowControl/>
              <w:jc w:val="left"/>
              <w:textAlignment w:val="center"/>
              <w:rPr>
                <w:rStyle w:val="66"/>
                <w:rFonts w:hint="default" w:ascii="宋体" w:hAnsi="宋体" w:eastAsia="宋体" w:cs="宋体"/>
                <w:lang w:bidi="ar"/>
              </w:rPr>
            </w:pPr>
            <w:r>
              <w:rPr>
                <w:rStyle w:val="66"/>
                <w:rFonts w:hint="default" w:ascii="宋体" w:hAnsi="宋体" w:eastAsia="宋体" w:cs="宋体"/>
                <w:lang w:bidi="ar"/>
              </w:rPr>
              <w:t>急停</w:t>
            </w:r>
          </w:p>
        </w:tc>
        <w:tc>
          <w:tcPr>
            <w:tcW w:w="3115" w:type="dxa"/>
            <w:tcBorders>
              <w:top w:val="nil"/>
              <w:left w:val="nil"/>
              <w:bottom w:val="single" w:color="auto" w:sz="4" w:space="0"/>
              <w:right w:val="single" w:color="auto" w:sz="4" w:space="0"/>
            </w:tcBorders>
            <w:shd w:val="clear" w:color="auto" w:fill="auto"/>
            <w:vAlign w:val="center"/>
          </w:tcPr>
          <w:p w14:paraId="51E666F7">
            <w:pPr>
              <w:widowControl/>
              <w:jc w:val="left"/>
              <w:textAlignment w:val="center"/>
              <w:rPr>
                <w:rStyle w:val="66"/>
                <w:rFonts w:hint="default"/>
                <w:lang w:bidi="ar"/>
              </w:rPr>
            </w:pPr>
            <w:r>
              <w:rPr>
                <w:rStyle w:val="66"/>
                <w:rFonts w:hint="default"/>
                <w:lang w:bidi="ar"/>
              </w:rPr>
              <w:t>具备</w:t>
            </w:r>
          </w:p>
        </w:tc>
        <w:tc>
          <w:tcPr>
            <w:tcW w:w="2866" w:type="dxa"/>
            <w:tcBorders>
              <w:top w:val="nil"/>
              <w:left w:val="nil"/>
              <w:bottom w:val="single" w:color="auto" w:sz="4" w:space="0"/>
              <w:right w:val="single" w:color="auto" w:sz="4" w:space="0"/>
            </w:tcBorders>
            <w:shd w:val="clear" w:color="auto" w:fill="auto"/>
            <w:vAlign w:val="center"/>
          </w:tcPr>
          <w:p w14:paraId="5EC9D4D0">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697D297C">
            <w:pPr>
              <w:widowControl/>
              <w:spacing w:line="560" w:lineRule="exact"/>
              <w:jc w:val="left"/>
              <w:rPr>
                <w:rFonts w:ascii="Times New Roman" w:hAnsi="Times New Roman" w:eastAsia="宋体" w:cs="Times New Roman"/>
                <w:kern w:val="0"/>
                <w:sz w:val="21"/>
                <w:szCs w:val="21"/>
              </w:rPr>
            </w:pPr>
          </w:p>
        </w:tc>
      </w:tr>
      <w:tr w14:paraId="19B4904E">
        <w:tblPrEx>
          <w:tblCellMar>
            <w:top w:w="0" w:type="dxa"/>
            <w:left w:w="108" w:type="dxa"/>
            <w:bottom w:w="0" w:type="dxa"/>
            <w:right w:w="108" w:type="dxa"/>
          </w:tblCellMar>
        </w:tblPrEx>
        <w:trPr>
          <w:trHeight w:val="259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4638C9E">
            <w:pPr>
              <w:widowControl/>
              <w:spacing w:line="560" w:lineRule="exact"/>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r>
              <w:rPr>
                <w:rFonts w:hint="eastAsia" w:cs="Times New Roman"/>
                <w:kern w:val="0"/>
                <w:sz w:val="21"/>
                <w:szCs w:val="21"/>
                <w:lang w:val="en-US" w:eastAsia="zh-CN"/>
              </w:rPr>
              <w:t>5</w:t>
            </w:r>
          </w:p>
        </w:tc>
        <w:tc>
          <w:tcPr>
            <w:tcW w:w="1569" w:type="dxa"/>
            <w:tcBorders>
              <w:top w:val="nil"/>
              <w:left w:val="nil"/>
              <w:bottom w:val="single" w:color="auto" w:sz="4" w:space="0"/>
              <w:right w:val="single" w:color="auto" w:sz="4" w:space="0"/>
            </w:tcBorders>
            <w:shd w:val="clear" w:color="auto" w:fill="auto"/>
            <w:vAlign w:val="center"/>
          </w:tcPr>
          <w:p w14:paraId="1207AED1">
            <w:pPr>
              <w:widowControl/>
              <w:jc w:val="left"/>
              <w:textAlignment w:val="center"/>
              <w:rPr>
                <w:rStyle w:val="66"/>
                <w:rFonts w:hint="default" w:ascii="宋体" w:hAnsi="宋体" w:eastAsia="宋体" w:cs="宋体"/>
                <w:lang w:bidi="ar"/>
              </w:rPr>
            </w:pPr>
            <w:r>
              <w:rPr>
                <w:rStyle w:val="66"/>
                <w:rFonts w:eastAsia="宋体" w:cs="宋体"/>
                <w:lang w:bidi="ar"/>
              </w:rPr>
              <w:t>网络接入</w:t>
            </w:r>
          </w:p>
        </w:tc>
        <w:tc>
          <w:tcPr>
            <w:tcW w:w="3115" w:type="dxa"/>
            <w:tcBorders>
              <w:top w:val="nil"/>
              <w:left w:val="nil"/>
              <w:bottom w:val="single" w:color="auto" w:sz="4" w:space="0"/>
              <w:right w:val="single" w:color="auto" w:sz="4" w:space="0"/>
            </w:tcBorders>
            <w:shd w:val="clear" w:color="auto" w:fill="auto"/>
            <w:vAlign w:val="center"/>
          </w:tcPr>
          <w:p w14:paraId="6CE2B1C5">
            <w:pPr>
              <w:widowControl/>
              <w:autoSpaceDE/>
              <w:autoSpaceDN/>
              <w:spacing w:line="240" w:lineRule="auto"/>
              <w:ind w:firstLine="0" w:firstLineChars="0"/>
              <w:jc w:val="left"/>
              <w:textAlignment w:val="center"/>
              <w:rPr>
                <w:rStyle w:val="66"/>
                <w:rFonts w:eastAsia="宋体" w:cs="宋体"/>
                <w:lang w:bidi="ar"/>
              </w:rPr>
            </w:pPr>
            <w:r>
              <w:rPr>
                <w:rStyle w:val="66"/>
                <w:rFonts w:hint="default" w:eastAsia="宋体" w:cs="宋体"/>
                <w:lang w:bidi="ar"/>
              </w:rPr>
              <w:t>（1）充电桩通信模块支持移动、联通、电信三大运营商网络，设备可根据环境信号强弱智能选择最优运营商网络，确保网络信号稳定性</w:t>
            </w:r>
            <w:r>
              <w:rPr>
                <w:rStyle w:val="66"/>
                <w:rFonts w:eastAsia="宋体" w:cs="宋体"/>
                <w:lang w:bidi="ar"/>
              </w:rPr>
              <w:t>；</w:t>
            </w:r>
          </w:p>
          <w:p w14:paraId="754BAE27">
            <w:pPr>
              <w:widowControl/>
              <w:jc w:val="left"/>
              <w:textAlignment w:val="center"/>
              <w:rPr>
                <w:rStyle w:val="66"/>
                <w:rFonts w:hint="default"/>
                <w:lang w:bidi="ar"/>
              </w:rPr>
            </w:pPr>
            <w:r>
              <w:rPr>
                <w:rStyle w:val="66"/>
                <w:rFonts w:hint="default" w:eastAsia="宋体" w:cs="宋体"/>
                <w:lang w:bidi="ar"/>
              </w:rPr>
              <w:t>（2）充电桩支持多种联网方式（4G、以太网等），可通过智能备份机制确保网络不间断，当有线网络断开时，设备可自动切换到4G，有线网络恢复时，设备可自动切换到有限网络连接。</w:t>
            </w:r>
          </w:p>
        </w:tc>
        <w:tc>
          <w:tcPr>
            <w:tcW w:w="2866" w:type="dxa"/>
            <w:tcBorders>
              <w:top w:val="nil"/>
              <w:left w:val="nil"/>
              <w:bottom w:val="single" w:color="auto" w:sz="4" w:space="0"/>
              <w:right w:val="single" w:color="auto" w:sz="4" w:space="0"/>
            </w:tcBorders>
            <w:shd w:val="clear" w:color="auto" w:fill="auto"/>
            <w:vAlign w:val="center"/>
          </w:tcPr>
          <w:p w14:paraId="1C568344">
            <w:pPr>
              <w:widowControl/>
              <w:spacing w:line="560" w:lineRule="exact"/>
              <w:jc w:val="left"/>
              <w:rPr>
                <w:rFonts w:ascii="Times New Roman" w:hAnsi="Times New Roman" w:eastAsia="宋体" w:cs="Times New Roman"/>
                <w:kern w:val="0"/>
                <w:sz w:val="21"/>
                <w:szCs w:val="21"/>
              </w:rPr>
            </w:pPr>
          </w:p>
        </w:tc>
        <w:tc>
          <w:tcPr>
            <w:tcW w:w="2183" w:type="dxa"/>
            <w:tcBorders>
              <w:top w:val="nil"/>
              <w:left w:val="nil"/>
              <w:bottom w:val="single" w:color="auto" w:sz="4" w:space="0"/>
              <w:right w:val="single" w:color="auto" w:sz="4" w:space="0"/>
            </w:tcBorders>
            <w:shd w:val="clear" w:color="auto" w:fill="auto"/>
            <w:vAlign w:val="center"/>
          </w:tcPr>
          <w:p w14:paraId="595E20A0">
            <w:pPr>
              <w:widowControl/>
              <w:spacing w:line="560" w:lineRule="exact"/>
              <w:jc w:val="left"/>
              <w:rPr>
                <w:rFonts w:ascii="Times New Roman" w:hAnsi="Times New Roman" w:eastAsia="宋体" w:cs="Times New Roman"/>
                <w:kern w:val="0"/>
                <w:sz w:val="21"/>
                <w:szCs w:val="21"/>
              </w:rPr>
            </w:pPr>
          </w:p>
        </w:tc>
      </w:tr>
    </w:tbl>
    <w:p w14:paraId="403A62A8">
      <w:pPr>
        <w:pStyle w:val="2"/>
        <w:ind w:left="0" w:leftChars="0" w:firstLine="0" w:firstLineChars="0"/>
      </w:pPr>
    </w:p>
    <w:sectPr>
      <w:headerReference r:id="rId13" w:type="default"/>
      <w:footerReference r:id="rId14" w:type="default"/>
      <w:pgSz w:w="12240" w:h="15840"/>
      <w:pgMar w:top="1134" w:right="1474" w:bottom="1418" w:left="1134" w:header="851" w:footer="8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U-F1">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element-icons">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9D14D">
    <w:pPr>
      <w:pStyle w:val="18"/>
      <w:ind w:firstLine="4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330CE">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D2CEF">
    <w:pPr>
      <w:pStyle w:val="18"/>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D9DDE">
    <w:pPr>
      <w:pStyle w:val="18"/>
      <w:ind w:firstLine="42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14A1B">
    <w:pPr>
      <w:pStyle w:val="18"/>
      <w:jc w:val="center"/>
      <w:rPr>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5E57">
    <w:pPr>
      <w:pStyle w:val="18"/>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4147D47">
                          <w:pPr>
                            <w:pStyle w:val="1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XW5UtAAAAAFAQAADwAAAAAAAAABACAAAAAiAAAAZHJzL2Rvd25yZXYueG1sUEsBAhQAFAAAAAgA&#10;h07iQIAzbm+7AQAAewMAAA4AAAAAAAAAAQAgAAAAHwEAAGRycy9lMm9Eb2MueG1sUEsFBgAAAAAG&#10;AAYAWQEAAEwFAAAAAA==&#10;">
              <v:fill on="f" focussize="0,0"/>
              <v:stroke on="f"/>
              <v:imagedata o:title=""/>
              <o:lock v:ext="edit" aspectratio="f"/>
              <v:textbox inset="0mm,0mm,0mm,0mm" style="mso-fit-shape-to-text:t;">
                <w:txbxContent>
                  <w:p w14:paraId="34147D47">
                    <w:pPr>
                      <w:pStyle w:val="18"/>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D4082">
    <w:pPr>
      <w:pStyle w:val="18"/>
      <w:jc w:val="center"/>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2"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3AECC8">
                          <w:pPr>
                            <w:pStyle w:val="1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BV92AtvAEAAHsDAAAOAAAAAAAAAAEAIAAAAB8BAABkcnMvZTJvRG9jLnhtbFBLBQYAAAAA&#10;BgAGAFkBAABNBQAAAAA=&#10;">
              <v:fill on="f" focussize="0,0"/>
              <v:stroke on="f"/>
              <v:imagedata o:title=""/>
              <o:lock v:ext="edit" aspectratio="f"/>
              <v:textbox inset="0mm,0mm,0mm,0mm" style="mso-fit-shape-to-text:t;">
                <w:txbxContent>
                  <w:p w14:paraId="6F3AECC8">
                    <w:pPr>
                      <w:pStyle w:val="18"/>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0F553">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C6F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C674A">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4A46A">
    <w:pPr>
      <w:pStyle w:val="14"/>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242D2">
    <w:pPr>
      <w:pStyle w:val="1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41DC2"/>
    <w:multiLevelType w:val="singleLevel"/>
    <w:tmpl w:val="8EC41DC2"/>
    <w:lvl w:ilvl="0" w:tentative="0">
      <w:start w:val="1"/>
      <w:numFmt w:val="decimal"/>
      <w:lvlText w:val="%1."/>
      <w:lvlJc w:val="left"/>
      <w:pPr>
        <w:tabs>
          <w:tab w:val="left" w:pos="312"/>
        </w:tabs>
      </w:pPr>
    </w:lvl>
  </w:abstractNum>
  <w:abstractNum w:abstractNumId="1">
    <w:nsid w:val="E0838188"/>
    <w:multiLevelType w:val="singleLevel"/>
    <w:tmpl w:val="E0838188"/>
    <w:lvl w:ilvl="0" w:tentative="0">
      <w:start w:val="1"/>
      <w:numFmt w:val="decimal"/>
      <w:suff w:val="nothing"/>
      <w:lvlText w:val="%1、"/>
      <w:lvlJc w:val="left"/>
    </w:lvl>
  </w:abstractNum>
  <w:abstractNum w:abstractNumId="2">
    <w:nsid w:val="E9CF7B9B"/>
    <w:multiLevelType w:val="singleLevel"/>
    <w:tmpl w:val="E9CF7B9B"/>
    <w:lvl w:ilvl="0" w:tentative="0">
      <w:start w:val="3"/>
      <w:numFmt w:val="chineseCounting"/>
      <w:suff w:val="nothing"/>
      <w:lvlText w:val="%1、"/>
      <w:lvlJc w:val="left"/>
      <w:rPr>
        <w:rFonts w:hint="eastAsia"/>
      </w:rPr>
    </w:lvl>
  </w:abstractNum>
  <w:abstractNum w:abstractNumId="3">
    <w:nsid w:val="00000001"/>
    <w:multiLevelType w:val="singleLevel"/>
    <w:tmpl w:val="00000001"/>
    <w:lvl w:ilvl="0" w:tentative="0">
      <w:start w:val="1"/>
      <w:numFmt w:val="decimal"/>
      <w:suff w:val="nothing"/>
      <w:lvlText w:val="%1、"/>
      <w:lvlJc w:val="left"/>
    </w:lvl>
  </w:abstractNum>
  <w:abstractNum w:abstractNumId="4">
    <w:nsid w:val="00000002"/>
    <w:multiLevelType w:val="singleLevel"/>
    <w:tmpl w:val="00000002"/>
    <w:lvl w:ilvl="0" w:tentative="0">
      <w:start w:val="1"/>
      <w:numFmt w:val="chineseCounting"/>
      <w:suff w:val="nothing"/>
      <w:lvlText w:val="（%1）"/>
      <w:lvlJc w:val="left"/>
      <w:rPr>
        <w:rFonts w:hint="eastAsia"/>
      </w:rPr>
    </w:lvl>
  </w:abstractNum>
  <w:abstractNum w:abstractNumId="5">
    <w:nsid w:val="00000004"/>
    <w:multiLevelType w:val="multilevel"/>
    <w:tmpl w:val="00000004"/>
    <w:lvl w:ilvl="0" w:tentative="0">
      <w:start w:val="1"/>
      <w:numFmt w:val="decimal"/>
      <w:pStyle w:val="54"/>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00000005"/>
    <w:multiLevelType w:val="singleLevel"/>
    <w:tmpl w:val="00000005"/>
    <w:lvl w:ilvl="0" w:tentative="0">
      <w:start w:val="1"/>
      <w:numFmt w:val="decimal"/>
      <w:suff w:val="nothing"/>
      <w:lvlText w:val="（%1）"/>
      <w:lvlJc w:val="left"/>
    </w:lvl>
  </w:abstractNum>
  <w:abstractNum w:abstractNumId="7">
    <w:nsid w:val="00000006"/>
    <w:multiLevelType w:val="multilevel"/>
    <w:tmpl w:val="0000000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07"/>
    <w:multiLevelType w:val="singleLevel"/>
    <w:tmpl w:val="00000007"/>
    <w:lvl w:ilvl="0" w:tentative="0">
      <w:start w:val="1"/>
      <w:numFmt w:val="decimal"/>
      <w:suff w:val="nothing"/>
      <w:lvlText w:val="%1、"/>
      <w:lvlJc w:val="left"/>
    </w:lvl>
  </w:abstractNum>
  <w:abstractNum w:abstractNumId="9">
    <w:nsid w:val="00000008"/>
    <w:multiLevelType w:val="multilevel"/>
    <w:tmpl w:val="00000008"/>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hint="eastAsia" w:cs="Times New Roman"/>
      </w:rPr>
    </w:lvl>
    <w:lvl w:ilvl="2" w:tentative="0">
      <w:start w:val="0"/>
      <w:numFmt w:val="none"/>
      <w:lvlText w:val=""/>
      <w:lvlJc w:val="left"/>
      <w:pPr>
        <w:tabs>
          <w:tab w:val="left" w:pos="360"/>
        </w:tabs>
        <w:ind w:left="0" w:firstLine="0"/>
      </w:pPr>
      <w:rPr>
        <w:rFonts w:hint="eastAsia" w:cs="Times New Roman"/>
      </w:rPr>
    </w:lvl>
    <w:lvl w:ilvl="3" w:tentative="0">
      <w:start w:val="0"/>
      <w:numFmt w:val="none"/>
      <w:lvlText w:val=""/>
      <w:lvlJc w:val="left"/>
      <w:pPr>
        <w:tabs>
          <w:tab w:val="left" w:pos="360"/>
        </w:tabs>
        <w:ind w:left="0" w:firstLine="0"/>
      </w:pPr>
      <w:rPr>
        <w:rFonts w:hint="eastAsia" w:cs="Times New Roman"/>
      </w:rPr>
    </w:lvl>
    <w:lvl w:ilvl="4" w:tentative="0">
      <w:start w:val="0"/>
      <w:numFmt w:val="decimal"/>
      <w:pStyle w:val="43"/>
      <w:lvlText w:val="%5"/>
      <w:lvlJc w:val="left"/>
      <w:pPr>
        <w:ind w:left="0" w:firstLine="0"/>
      </w:pPr>
      <w:rPr>
        <w:rFonts w:hint="eastAsia" w:cs="Times New Roman"/>
      </w:rPr>
    </w:lvl>
    <w:lvl w:ilvl="5" w:tentative="0">
      <w:start w:val="0"/>
      <w:numFmt w:val="decimal"/>
      <w:lvlText w:val=""/>
      <w:lvlJc w:val="left"/>
      <w:pPr>
        <w:ind w:left="0" w:firstLine="0"/>
      </w:pPr>
      <w:rPr>
        <w:rFonts w:hint="eastAsia" w:cs="Times New Roman"/>
      </w:rPr>
    </w:lvl>
    <w:lvl w:ilvl="6" w:tentative="0">
      <w:start w:val="0"/>
      <w:numFmt w:val="decimal"/>
      <w:lvlText w:val=""/>
      <w:lvlJc w:val="left"/>
      <w:pPr>
        <w:ind w:left="0" w:firstLine="0"/>
      </w:pPr>
      <w:rPr>
        <w:rFonts w:hint="eastAsia" w:cs="Times New Roman"/>
      </w:rPr>
    </w:lvl>
    <w:lvl w:ilvl="7" w:tentative="0">
      <w:start w:val="0"/>
      <w:numFmt w:val="decimal"/>
      <w:lvlText w:val=""/>
      <w:lvlJc w:val="left"/>
      <w:pPr>
        <w:ind w:left="0" w:firstLine="0"/>
      </w:pPr>
      <w:rPr>
        <w:rFonts w:hint="eastAsia" w:cs="Times New Roman"/>
      </w:rPr>
    </w:lvl>
    <w:lvl w:ilvl="8" w:tentative="0">
      <w:start w:val="0"/>
      <w:numFmt w:val="decimal"/>
      <w:lvlText w:val=""/>
      <w:lvlJc w:val="left"/>
      <w:pPr>
        <w:ind w:left="0" w:firstLine="0"/>
      </w:pPr>
      <w:rPr>
        <w:rFonts w:hint="eastAsia" w:cs="Times New Roman"/>
      </w:rPr>
    </w:lvl>
  </w:abstractNum>
  <w:abstractNum w:abstractNumId="10">
    <w:nsid w:val="28B1EE68"/>
    <w:multiLevelType w:val="singleLevel"/>
    <w:tmpl w:val="28B1EE68"/>
    <w:lvl w:ilvl="0" w:tentative="0">
      <w:start w:val="1"/>
      <w:numFmt w:val="chineseCounting"/>
      <w:suff w:val="nothing"/>
      <w:lvlText w:val="%1、"/>
      <w:lvlJc w:val="left"/>
      <w:rPr>
        <w:rFonts w:hint="eastAsia"/>
      </w:rPr>
    </w:lvl>
  </w:abstractNum>
  <w:num w:numId="1">
    <w:abstractNumId w:val="9"/>
  </w:num>
  <w:num w:numId="2">
    <w:abstractNumId w:val="5"/>
  </w:num>
  <w:num w:numId="3">
    <w:abstractNumId w:val="4"/>
  </w:num>
  <w:num w:numId="4">
    <w:abstractNumId w:val="8"/>
  </w:num>
  <w:num w:numId="5">
    <w:abstractNumId w:val="6"/>
  </w:num>
  <w:num w:numId="6">
    <w:abstractNumId w:val="1"/>
  </w:num>
  <w:num w:numId="7">
    <w:abstractNumId w:val="3"/>
  </w:num>
  <w:num w:numId="8">
    <w:abstractNumId w:val="0"/>
  </w:num>
  <w:num w:numId="9">
    <w:abstractNumId w:val="7"/>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172A27"/>
    <w:rsid w:val="0012572D"/>
    <w:rsid w:val="00163FDB"/>
    <w:rsid w:val="001862B5"/>
    <w:rsid w:val="002422A4"/>
    <w:rsid w:val="00827D9C"/>
    <w:rsid w:val="00960885"/>
    <w:rsid w:val="009A43D9"/>
    <w:rsid w:val="00A56C73"/>
    <w:rsid w:val="00B06522"/>
    <w:rsid w:val="00C77A8A"/>
    <w:rsid w:val="00D33B19"/>
    <w:rsid w:val="00D5485B"/>
    <w:rsid w:val="00E059D9"/>
    <w:rsid w:val="00E41279"/>
    <w:rsid w:val="00F51CB7"/>
    <w:rsid w:val="016C065C"/>
    <w:rsid w:val="01CE57E6"/>
    <w:rsid w:val="01E546CC"/>
    <w:rsid w:val="02025932"/>
    <w:rsid w:val="025B2DC4"/>
    <w:rsid w:val="02AD2556"/>
    <w:rsid w:val="02C73FFF"/>
    <w:rsid w:val="030E6ACA"/>
    <w:rsid w:val="03AB4D58"/>
    <w:rsid w:val="045653C8"/>
    <w:rsid w:val="05071843"/>
    <w:rsid w:val="0648609F"/>
    <w:rsid w:val="06676D15"/>
    <w:rsid w:val="068375B9"/>
    <w:rsid w:val="06A20FC1"/>
    <w:rsid w:val="06A234E8"/>
    <w:rsid w:val="06AF55BC"/>
    <w:rsid w:val="06DD3029"/>
    <w:rsid w:val="078F48FE"/>
    <w:rsid w:val="07956945"/>
    <w:rsid w:val="07984B51"/>
    <w:rsid w:val="07D40FE4"/>
    <w:rsid w:val="08B1198F"/>
    <w:rsid w:val="08B2315A"/>
    <w:rsid w:val="09445A22"/>
    <w:rsid w:val="09481AEA"/>
    <w:rsid w:val="098749AC"/>
    <w:rsid w:val="09A3752A"/>
    <w:rsid w:val="09E501D4"/>
    <w:rsid w:val="09EE3807"/>
    <w:rsid w:val="0A0D10B9"/>
    <w:rsid w:val="0A5A2E82"/>
    <w:rsid w:val="0A6633F7"/>
    <w:rsid w:val="0AB020F4"/>
    <w:rsid w:val="0AF05081"/>
    <w:rsid w:val="0B620D93"/>
    <w:rsid w:val="0BB47FB7"/>
    <w:rsid w:val="0BBF3E35"/>
    <w:rsid w:val="0BBF741F"/>
    <w:rsid w:val="0C25550E"/>
    <w:rsid w:val="0CA06AD5"/>
    <w:rsid w:val="0D4C1C87"/>
    <w:rsid w:val="0DB47938"/>
    <w:rsid w:val="0DD63C01"/>
    <w:rsid w:val="0DDD6D83"/>
    <w:rsid w:val="0E0E0CC1"/>
    <w:rsid w:val="0E15651D"/>
    <w:rsid w:val="0E1D0262"/>
    <w:rsid w:val="0E217EB1"/>
    <w:rsid w:val="0E474CBB"/>
    <w:rsid w:val="0E52491A"/>
    <w:rsid w:val="0EE3107B"/>
    <w:rsid w:val="0F072309"/>
    <w:rsid w:val="0FC840FD"/>
    <w:rsid w:val="0FD52407"/>
    <w:rsid w:val="10A7245D"/>
    <w:rsid w:val="10BC30DD"/>
    <w:rsid w:val="10C605C7"/>
    <w:rsid w:val="10E56687"/>
    <w:rsid w:val="11655962"/>
    <w:rsid w:val="11A270FD"/>
    <w:rsid w:val="14F605E7"/>
    <w:rsid w:val="15140B6D"/>
    <w:rsid w:val="152A0AFF"/>
    <w:rsid w:val="15E871E1"/>
    <w:rsid w:val="165D4C83"/>
    <w:rsid w:val="17180B89"/>
    <w:rsid w:val="17D80CE7"/>
    <w:rsid w:val="181B1A92"/>
    <w:rsid w:val="189A56FA"/>
    <w:rsid w:val="18BD33BD"/>
    <w:rsid w:val="18C474BD"/>
    <w:rsid w:val="197C010A"/>
    <w:rsid w:val="19EA4D01"/>
    <w:rsid w:val="19F46082"/>
    <w:rsid w:val="1A460E8B"/>
    <w:rsid w:val="1A514D80"/>
    <w:rsid w:val="1A860537"/>
    <w:rsid w:val="1AC34A1F"/>
    <w:rsid w:val="1ADA57BB"/>
    <w:rsid w:val="1AE94FB9"/>
    <w:rsid w:val="1B28739A"/>
    <w:rsid w:val="1B463B7D"/>
    <w:rsid w:val="1B7B63B2"/>
    <w:rsid w:val="1B7C05B7"/>
    <w:rsid w:val="1BEE16E9"/>
    <w:rsid w:val="1C0746A1"/>
    <w:rsid w:val="1CBB27CC"/>
    <w:rsid w:val="1CC300E3"/>
    <w:rsid w:val="1CD37DA9"/>
    <w:rsid w:val="1CF4679A"/>
    <w:rsid w:val="1CF90B45"/>
    <w:rsid w:val="1D38181A"/>
    <w:rsid w:val="1D517B25"/>
    <w:rsid w:val="1E0A780F"/>
    <w:rsid w:val="1E22409E"/>
    <w:rsid w:val="1E300990"/>
    <w:rsid w:val="1E3739B5"/>
    <w:rsid w:val="1E8A3EF1"/>
    <w:rsid w:val="1E95273B"/>
    <w:rsid w:val="1EA841F5"/>
    <w:rsid w:val="1EEF3832"/>
    <w:rsid w:val="1FF23788"/>
    <w:rsid w:val="1FFC753C"/>
    <w:rsid w:val="207167C9"/>
    <w:rsid w:val="20D26AA7"/>
    <w:rsid w:val="211B42C0"/>
    <w:rsid w:val="21332ACA"/>
    <w:rsid w:val="213E6866"/>
    <w:rsid w:val="21D82FB1"/>
    <w:rsid w:val="21DD6262"/>
    <w:rsid w:val="21E16F77"/>
    <w:rsid w:val="22586A2D"/>
    <w:rsid w:val="22C81958"/>
    <w:rsid w:val="24156C18"/>
    <w:rsid w:val="24194B61"/>
    <w:rsid w:val="2454794D"/>
    <w:rsid w:val="2466627B"/>
    <w:rsid w:val="24F904EE"/>
    <w:rsid w:val="25056E93"/>
    <w:rsid w:val="250F581B"/>
    <w:rsid w:val="25343915"/>
    <w:rsid w:val="25BD1F76"/>
    <w:rsid w:val="25F57012"/>
    <w:rsid w:val="260F3CCC"/>
    <w:rsid w:val="262B0B7B"/>
    <w:rsid w:val="27355182"/>
    <w:rsid w:val="2764252F"/>
    <w:rsid w:val="279B588D"/>
    <w:rsid w:val="27AE3812"/>
    <w:rsid w:val="27B469DD"/>
    <w:rsid w:val="27C95FEB"/>
    <w:rsid w:val="28F55C25"/>
    <w:rsid w:val="2AF75775"/>
    <w:rsid w:val="2B455A0D"/>
    <w:rsid w:val="2B5C588A"/>
    <w:rsid w:val="2B976783"/>
    <w:rsid w:val="2CF16F22"/>
    <w:rsid w:val="2D557E1B"/>
    <w:rsid w:val="2D7C1EEE"/>
    <w:rsid w:val="2DA578C4"/>
    <w:rsid w:val="2DC73C7B"/>
    <w:rsid w:val="2E0D299D"/>
    <w:rsid w:val="2E4E7A93"/>
    <w:rsid w:val="2E8843FB"/>
    <w:rsid w:val="2EBF0318"/>
    <w:rsid w:val="2F041F69"/>
    <w:rsid w:val="30542A7D"/>
    <w:rsid w:val="305F4D4F"/>
    <w:rsid w:val="30882C76"/>
    <w:rsid w:val="30986835"/>
    <w:rsid w:val="31244B45"/>
    <w:rsid w:val="3126266B"/>
    <w:rsid w:val="313D118D"/>
    <w:rsid w:val="313E21EF"/>
    <w:rsid w:val="316D256D"/>
    <w:rsid w:val="31A50965"/>
    <w:rsid w:val="31FC3D6D"/>
    <w:rsid w:val="321921D0"/>
    <w:rsid w:val="32831498"/>
    <w:rsid w:val="34351111"/>
    <w:rsid w:val="34BB6703"/>
    <w:rsid w:val="3508020B"/>
    <w:rsid w:val="35366F2E"/>
    <w:rsid w:val="35DE47D6"/>
    <w:rsid w:val="36032F7B"/>
    <w:rsid w:val="364C34D5"/>
    <w:rsid w:val="36EF1598"/>
    <w:rsid w:val="36FA2280"/>
    <w:rsid w:val="37492DBB"/>
    <w:rsid w:val="384D3AD1"/>
    <w:rsid w:val="38781895"/>
    <w:rsid w:val="389B7E02"/>
    <w:rsid w:val="39131727"/>
    <w:rsid w:val="39887DF1"/>
    <w:rsid w:val="39B051C8"/>
    <w:rsid w:val="3AE41AFE"/>
    <w:rsid w:val="3B01739A"/>
    <w:rsid w:val="3B1A443D"/>
    <w:rsid w:val="3B4D080B"/>
    <w:rsid w:val="3B66557A"/>
    <w:rsid w:val="3BB914BF"/>
    <w:rsid w:val="3C432323"/>
    <w:rsid w:val="3C6E49D0"/>
    <w:rsid w:val="3CA628B2"/>
    <w:rsid w:val="3CD63197"/>
    <w:rsid w:val="3D0B06C3"/>
    <w:rsid w:val="3DBD064E"/>
    <w:rsid w:val="3E2E0DB1"/>
    <w:rsid w:val="3ED63D63"/>
    <w:rsid w:val="3EE15E23"/>
    <w:rsid w:val="3EF142B8"/>
    <w:rsid w:val="3F2A0CCF"/>
    <w:rsid w:val="3F783474"/>
    <w:rsid w:val="3FA1262E"/>
    <w:rsid w:val="3FD70834"/>
    <w:rsid w:val="40491ED2"/>
    <w:rsid w:val="40DC4EC2"/>
    <w:rsid w:val="41780FFA"/>
    <w:rsid w:val="422913A5"/>
    <w:rsid w:val="42317362"/>
    <w:rsid w:val="42332E3A"/>
    <w:rsid w:val="423F4997"/>
    <w:rsid w:val="42927B60"/>
    <w:rsid w:val="42F06FE3"/>
    <w:rsid w:val="431F179D"/>
    <w:rsid w:val="43F25270"/>
    <w:rsid w:val="44D0671E"/>
    <w:rsid w:val="452D591E"/>
    <w:rsid w:val="453B1026"/>
    <w:rsid w:val="459403B6"/>
    <w:rsid w:val="45C25753"/>
    <w:rsid w:val="4680198D"/>
    <w:rsid w:val="468123C6"/>
    <w:rsid w:val="46B02432"/>
    <w:rsid w:val="46B5132D"/>
    <w:rsid w:val="46C52216"/>
    <w:rsid w:val="46EF78FB"/>
    <w:rsid w:val="474264E7"/>
    <w:rsid w:val="47BA242D"/>
    <w:rsid w:val="481935D8"/>
    <w:rsid w:val="48361631"/>
    <w:rsid w:val="49102B50"/>
    <w:rsid w:val="49270BFF"/>
    <w:rsid w:val="4ABF777C"/>
    <w:rsid w:val="4B614FE0"/>
    <w:rsid w:val="4BA601D9"/>
    <w:rsid w:val="4BC92A64"/>
    <w:rsid w:val="4BF20843"/>
    <w:rsid w:val="4C046E1C"/>
    <w:rsid w:val="4CAD765B"/>
    <w:rsid w:val="4CCE05D1"/>
    <w:rsid w:val="4D0833AA"/>
    <w:rsid w:val="4D13172F"/>
    <w:rsid w:val="4DA95FBC"/>
    <w:rsid w:val="4DEA5221"/>
    <w:rsid w:val="4E152629"/>
    <w:rsid w:val="4ECC3F12"/>
    <w:rsid w:val="4EDB454A"/>
    <w:rsid w:val="4F6B59C1"/>
    <w:rsid w:val="4F8E7901"/>
    <w:rsid w:val="50402132"/>
    <w:rsid w:val="50554AEF"/>
    <w:rsid w:val="50934445"/>
    <w:rsid w:val="50A635FF"/>
    <w:rsid w:val="511B3417"/>
    <w:rsid w:val="514650FD"/>
    <w:rsid w:val="514D1048"/>
    <w:rsid w:val="51D33CF1"/>
    <w:rsid w:val="51D87445"/>
    <w:rsid w:val="52395066"/>
    <w:rsid w:val="52E02222"/>
    <w:rsid w:val="53070C19"/>
    <w:rsid w:val="530B63CE"/>
    <w:rsid w:val="53A30199"/>
    <w:rsid w:val="546E317A"/>
    <w:rsid w:val="547075D6"/>
    <w:rsid w:val="54E15AEF"/>
    <w:rsid w:val="552C7A66"/>
    <w:rsid w:val="55440142"/>
    <w:rsid w:val="55C62D27"/>
    <w:rsid w:val="56181412"/>
    <w:rsid w:val="565E63C0"/>
    <w:rsid w:val="56E90434"/>
    <w:rsid w:val="573F3A30"/>
    <w:rsid w:val="574865E8"/>
    <w:rsid w:val="57C0661E"/>
    <w:rsid w:val="58702F2C"/>
    <w:rsid w:val="58B008E9"/>
    <w:rsid w:val="593226CA"/>
    <w:rsid w:val="5939268C"/>
    <w:rsid w:val="59874999"/>
    <w:rsid w:val="59AE15CF"/>
    <w:rsid w:val="5B0352E6"/>
    <w:rsid w:val="5B433C96"/>
    <w:rsid w:val="5B977B3E"/>
    <w:rsid w:val="5BFD0E7B"/>
    <w:rsid w:val="5D0E3E30"/>
    <w:rsid w:val="5DE172AA"/>
    <w:rsid w:val="5F35762A"/>
    <w:rsid w:val="5F3701E8"/>
    <w:rsid w:val="5F986C97"/>
    <w:rsid w:val="5FE175D9"/>
    <w:rsid w:val="5FF223E0"/>
    <w:rsid w:val="601B7E2A"/>
    <w:rsid w:val="603B26DF"/>
    <w:rsid w:val="60493A07"/>
    <w:rsid w:val="604E364F"/>
    <w:rsid w:val="60B923C5"/>
    <w:rsid w:val="60D95748"/>
    <w:rsid w:val="613404EA"/>
    <w:rsid w:val="614738F1"/>
    <w:rsid w:val="61AF5EEA"/>
    <w:rsid w:val="61F12946"/>
    <w:rsid w:val="61FB7B4C"/>
    <w:rsid w:val="6200568D"/>
    <w:rsid w:val="62075FE4"/>
    <w:rsid w:val="62274B6E"/>
    <w:rsid w:val="62296C7E"/>
    <w:rsid w:val="626369CC"/>
    <w:rsid w:val="64246FB8"/>
    <w:rsid w:val="657908A4"/>
    <w:rsid w:val="6579625A"/>
    <w:rsid w:val="658253BB"/>
    <w:rsid w:val="65E36D1F"/>
    <w:rsid w:val="65FF24EE"/>
    <w:rsid w:val="6637041B"/>
    <w:rsid w:val="66C32E8E"/>
    <w:rsid w:val="675D7C54"/>
    <w:rsid w:val="679766E8"/>
    <w:rsid w:val="67A645B5"/>
    <w:rsid w:val="68EB0ED6"/>
    <w:rsid w:val="68FF6DF4"/>
    <w:rsid w:val="6927267F"/>
    <w:rsid w:val="696B1C01"/>
    <w:rsid w:val="69702A40"/>
    <w:rsid w:val="6990093C"/>
    <w:rsid w:val="69C029FB"/>
    <w:rsid w:val="6AF73A67"/>
    <w:rsid w:val="6B566D10"/>
    <w:rsid w:val="6BF0557B"/>
    <w:rsid w:val="6C2669CE"/>
    <w:rsid w:val="6C312FD6"/>
    <w:rsid w:val="6C4B64B1"/>
    <w:rsid w:val="6D1E7C11"/>
    <w:rsid w:val="6D3545CB"/>
    <w:rsid w:val="6D9C7DA0"/>
    <w:rsid w:val="6DB7229F"/>
    <w:rsid w:val="6E0D4614"/>
    <w:rsid w:val="6ED42006"/>
    <w:rsid w:val="6F40590C"/>
    <w:rsid w:val="6F414D3F"/>
    <w:rsid w:val="6F573414"/>
    <w:rsid w:val="6F82617F"/>
    <w:rsid w:val="6F9F6BC3"/>
    <w:rsid w:val="6FDC447C"/>
    <w:rsid w:val="70167E52"/>
    <w:rsid w:val="71AD1A11"/>
    <w:rsid w:val="71BF337A"/>
    <w:rsid w:val="71F44FA3"/>
    <w:rsid w:val="720371BB"/>
    <w:rsid w:val="733E3B19"/>
    <w:rsid w:val="735E7D36"/>
    <w:rsid w:val="73AB0E03"/>
    <w:rsid w:val="742B0B0E"/>
    <w:rsid w:val="745E6FFC"/>
    <w:rsid w:val="753A1B1C"/>
    <w:rsid w:val="75A47A69"/>
    <w:rsid w:val="75E13806"/>
    <w:rsid w:val="76CE0460"/>
    <w:rsid w:val="76E53442"/>
    <w:rsid w:val="77065CE1"/>
    <w:rsid w:val="776668EA"/>
    <w:rsid w:val="778D7E1E"/>
    <w:rsid w:val="7794726C"/>
    <w:rsid w:val="785B3383"/>
    <w:rsid w:val="788063E5"/>
    <w:rsid w:val="78E20D84"/>
    <w:rsid w:val="79081B2F"/>
    <w:rsid w:val="79586707"/>
    <w:rsid w:val="79BD77C6"/>
    <w:rsid w:val="7A194811"/>
    <w:rsid w:val="7A361082"/>
    <w:rsid w:val="7A8173B4"/>
    <w:rsid w:val="7AFA2B58"/>
    <w:rsid w:val="7B3F64A4"/>
    <w:rsid w:val="7C19251B"/>
    <w:rsid w:val="7C317DA6"/>
    <w:rsid w:val="7C6C11F9"/>
    <w:rsid w:val="7C6E1FF1"/>
    <w:rsid w:val="7DAE0FEB"/>
    <w:rsid w:val="7DFA02FD"/>
    <w:rsid w:val="7E1C5F55"/>
    <w:rsid w:val="7EAC0F34"/>
    <w:rsid w:val="7EBF32CA"/>
    <w:rsid w:val="7F531E4A"/>
    <w:rsid w:val="7F637D73"/>
    <w:rsid w:val="7F6A0F42"/>
    <w:rsid w:val="7FD866DE"/>
    <w:rsid w:val="7FF44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0" w:semiHidden="0" w:name="heading 7"/>
    <w:lsdException w:qFormat="1" w:unhideWhenUsed="0" w:uiPriority="0" w:semiHidden="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spacing w:line="440" w:lineRule="exact"/>
      <w:outlineLvl w:val="0"/>
    </w:pPr>
    <w:rPr>
      <w:sz w:val="24"/>
      <w:u w:val="single"/>
    </w:rPr>
  </w:style>
  <w:style w:type="paragraph" w:styleId="6">
    <w:name w:val="heading 2"/>
    <w:basedOn w:val="1"/>
    <w:next w:val="1"/>
    <w:qFormat/>
    <w:uiPriority w:val="0"/>
    <w:pPr>
      <w:keepNext/>
      <w:keepLines/>
      <w:snapToGrid w:val="0"/>
      <w:spacing w:before="260" w:after="260" w:line="578" w:lineRule="exact"/>
      <w:jc w:val="center"/>
      <w:outlineLvl w:val="1"/>
    </w:pPr>
    <w:rPr>
      <w:rFonts w:ascii="Arial" w:hAnsi="Arial" w:eastAsia="微软雅黑"/>
      <w:b/>
      <w:bCs/>
      <w:sz w:val="44"/>
      <w:szCs w:val="32"/>
    </w:rPr>
  </w:style>
  <w:style w:type="paragraph" w:styleId="7">
    <w:name w:val="heading 3"/>
    <w:basedOn w:val="1"/>
    <w:next w:val="1"/>
    <w:link w:val="62"/>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99"/>
    <w:pPr>
      <w:keepNext/>
      <w:tabs>
        <w:tab w:val="left" w:pos="315"/>
        <w:tab w:val="left" w:pos="4710"/>
      </w:tabs>
      <w:jc w:val="center"/>
      <w:outlineLvl w:val="3"/>
    </w:pPr>
    <w:rPr>
      <w:b/>
      <w:bCs/>
      <w:spacing w:val="-2"/>
      <w:kern w:val="0"/>
      <w:sz w:val="24"/>
      <w:szCs w:val="20"/>
    </w:rPr>
  </w:style>
  <w:style w:type="paragraph" w:styleId="9">
    <w:name w:val="heading 7"/>
    <w:basedOn w:val="1"/>
    <w:next w:val="1"/>
    <w:link w:val="59"/>
    <w:qFormat/>
    <w:uiPriority w:val="0"/>
    <w:pPr>
      <w:keepNext/>
      <w:keepLines/>
      <w:spacing w:before="240" w:after="64" w:line="320" w:lineRule="auto"/>
      <w:outlineLvl w:val="6"/>
    </w:pPr>
    <w:rPr>
      <w:b/>
      <w:bCs/>
      <w:sz w:val="24"/>
    </w:rPr>
  </w:style>
  <w:style w:type="paragraph" w:styleId="10">
    <w:name w:val="heading 8"/>
    <w:basedOn w:val="1"/>
    <w:next w:val="1"/>
    <w:link w:val="63"/>
    <w:qFormat/>
    <w:uiPriority w:val="0"/>
    <w:pPr>
      <w:keepNext/>
      <w:keepLines/>
      <w:spacing w:before="240" w:after="64" w:line="320" w:lineRule="auto"/>
      <w:outlineLvl w:val="7"/>
    </w:pPr>
    <w:rPr>
      <w:rFonts w:ascii="Calibri Light" w:hAnsi="Calibri Light" w:cs="宋体"/>
      <w:sz w:val="24"/>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spacing w:after="120" w:line="360" w:lineRule="auto"/>
      <w:ind w:left="420" w:leftChars="200" w:firstLine="420"/>
    </w:pPr>
    <w:rPr>
      <w:rFonts w:ascii="宋体"/>
      <w:b w:val="0"/>
      <w:bCs w:val="0"/>
      <w:kern w:val="0"/>
      <w:sz w:val="28"/>
      <w:szCs w:val="20"/>
    </w:rPr>
  </w:style>
  <w:style w:type="paragraph" w:styleId="3">
    <w:name w:val="Body Text Indent"/>
    <w:basedOn w:val="1"/>
    <w:next w:val="4"/>
    <w:qFormat/>
    <w:uiPriority w:val="99"/>
    <w:pPr>
      <w:ind w:firstLine="422" w:firstLineChars="200"/>
    </w:pPr>
    <w:rPr>
      <w:b/>
      <w:bCs/>
    </w:rPr>
  </w:style>
  <w:style w:type="paragraph" w:styleId="4">
    <w:name w:val="envelope return"/>
    <w:basedOn w:val="1"/>
    <w:qFormat/>
    <w:uiPriority w:val="0"/>
    <w:rPr>
      <w:rFonts w:hAnsi="Arial"/>
    </w:rPr>
  </w:style>
  <w:style w:type="paragraph" w:styleId="11">
    <w:name w:val="index 8"/>
    <w:basedOn w:val="1"/>
    <w:next w:val="1"/>
    <w:qFormat/>
    <w:uiPriority w:val="0"/>
    <w:pPr>
      <w:ind w:left="1400" w:leftChars="1400"/>
    </w:pPr>
    <w:rPr>
      <w:szCs w:val="20"/>
    </w:rPr>
  </w:style>
  <w:style w:type="paragraph" w:styleId="12">
    <w:name w:val="Normal Indent"/>
    <w:basedOn w:val="1"/>
    <w:link w:val="53"/>
    <w:qFormat/>
    <w:uiPriority w:val="0"/>
    <w:pPr>
      <w:ind w:firstLine="420" w:firstLineChars="200"/>
    </w:pPr>
  </w:style>
  <w:style w:type="paragraph" w:styleId="13">
    <w:name w:val="annotation text"/>
    <w:basedOn w:val="1"/>
    <w:link w:val="57"/>
    <w:qFormat/>
    <w:uiPriority w:val="0"/>
    <w:pPr>
      <w:jc w:val="left"/>
    </w:pPr>
  </w:style>
  <w:style w:type="paragraph" w:styleId="14">
    <w:name w:val="Body Text"/>
    <w:basedOn w:val="1"/>
    <w:next w:val="1"/>
    <w:qFormat/>
    <w:uiPriority w:val="99"/>
    <w:pPr>
      <w:spacing w:after="120"/>
    </w:pPr>
  </w:style>
  <w:style w:type="paragraph" w:styleId="15">
    <w:name w:val="Plain Text"/>
    <w:basedOn w:val="1"/>
    <w:qFormat/>
    <w:uiPriority w:val="0"/>
    <w:rPr>
      <w:rFonts w:ascii="宋体" w:hAnsi="Courier New"/>
      <w:szCs w:val="21"/>
    </w:rPr>
  </w:style>
  <w:style w:type="paragraph" w:styleId="16">
    <w:name w:val="Body Text Indent 2"/>
    <w:basedOn w:val="1"/>
    <w:qFormat/>
    <w:uiPriority w:val="99"/>
    <w:pPr>
      <w:spacing w:after="120" w:line="480" w:lineRule="auto"/>
      <w:ind w:left="420" w:leftChars="200"/>
    </w:pPr>
  </w:style>
  <w:style w:type="paragraph" w:styleId="17">
    <w:name w:val="Balloon Text"/>
    <w:basedOn w:val="1"/>
    <w:link w:val="56"/>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style>
  <w:style w:type="paragraph" w:styleId="21">
    <w:name w:val="toc 2"/>
    <w:basedOn w:val="1"/>
    <w:next w:val="1"/>
    <w:qFormat/>
    <w:uiPriority w:val="39"/>
    <w:pPr>
      <w:tabs>
        <w:tab w:val="right" w:leader="dot" w:pos="8777"/>
      </w:tabs>
      <w:spacing w:line="360" w:lineRule="auto"/>
      <w:ind w:left="210"/>
      <w:jc w:val="left"/>
    </w:pPr>
    <w:rPr>
      <w:rFonts w:eastAsia="幼圆"/>
      <w:b/>
      <w:bCs/>
      <w:smallCaps/>
      <w:kern w:val="44"/>
      <w:sz w:val="20"/>
      <w:szCs w:val="20"/>
    </w:rPr>
  </w:style>
  <w:style w:type="paragraph" w:styleId="22">
    <w:name w:val="Normal (Web)"/>
    <w:basedOn w:val="1"/>
    <w:qFormat/>
    <w:uiPriority w:val="0"/>
    <w:pPr>
      <w:jc w:val="left"/>
    </w:pPr>
    <w:rPr>
      <w:kern w:val="0"/>
      <w:sz w:val="24"/>
    </w:rPr>
  </w:style>
  <w:style w:type="paragraph" w:styleId="23">
    <w:name w:val="index 1"/>
    <w:basedOn w:val="1"/>
    <w:next w:val="1"/>
    <w:qFormat/>
    <w:uiPriority w:val="99"/>
    <w:pPr>
      <w:spacing w:line="360" w:lineRule="auto"/>
      <w:jc w:val="center"/>
    </w:pPr>
  </w:style>
  <w:style w:type="paragraph" w:styleId="24">
    <w:name w:val="Title"/>
    <w:basedOn w:val="1"/>
    <w:next w:val="1"/>
    <w:qFormat/>
    <w:uiPriority w:val="0"/>
    <w:pPr>
      <w:tabs>
        <w:tab w:val="left" w:pos="360"/>
      </w:tabs>
      <w:ind w:left="360" w:hanging="360" w:hangingChars="200"/>
      <w:jc w:val="center"/>
    </w:pPr>
    <w:rPr>
      <w:rFonts w:ascii="宋体" w:hAnsi="宋体"/>
      <w:b/>
      <w:bCs/>
      <w:kern w:val="44"/>
      <w:sz w:val="48"/>
      <w:szCs w:val="44"/>
    </w:rPr>
  </w:style>
  <w:style w:type="paragraph" w:styleId="25">
    <w:name w:val="annotation subject"/>
    <w:basedOn w:val="13"/>
    <w:next w:val="13"/>
    <w:link w:val="58"/>
    <w:qFormat/>
    <w:uiPriority w:val="0"/>
    <w:rPr>
      <w:b/>
      <w:bCs/>
    </w:rPr>
  </w:style>
  <w:style w:type="table" w:styleId="27">
    <w:name w:val="Table Grid"/>
    <w:basedOn w:val="26"/>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qFormat/>
    <w:uiPriority w:val="99"/>
    <w:rPr>
      <w:rFonts w:cs="Times New Roman"/>
      <w:b/>
      <w:bCs/>
    </w:rPr>
  </w:style>
  <w:style w:type="character" w:styleId="30">
    <w:name w:val="FollowedHyperlink"/>
    <w:basedOn w:val="28"/>
    <w:qFormat/>
    <w:uiPriority w:val="0"/>
    <w:rPr>
      <w:color w:val="800080"/>
      <w:u w:val="none"/>
    </w:rPr>
  </w:style>
  <w:style w:type="character" w:styleId="31">
    <w:name w:val="Emphasis"/>
    <w:basedOn w:val="28"/>
    <w:qFormat/>
    <w:uiPriority w:val="0"/>
  </w:style>
  <w:style w:type="character" w:styleId="32">
    <w:name w:val="HTML Definition"/>
    <w:basedOn w:val="28"/>
    <w:qFormat/>
    <w:uiPriority w:val="0"/>
  </w:style>
  <w:style w:type="character" w:styleId="33">
    <w:name w:val="HTML Typewriter"/>
    <w:basedOn w:val="28"/>
    <w:qFormat/>
    <w:uiPriority w:val="0"/>
    <w:rPr>
      <w:rFonts w:ascii="monospace" w:hAnsi="monospace" w:eastAsia="monospace" w:cs="monospace"/>
      <w:sz w:val="20"/>
    </w:rPr>
  </w:style>
  <w:style w:type="character" w:styleId="34">
    <w:name w:val="HTML Acronym"/>
    <w:basedOn w:val="28"/>
    <w:qFormat/>
    <w:uiPriority w:val="0"/>
  </w:style>
  <w:style w:type="character" w:styleId="35">
    <w:name w:val="HTML Variable"/>
    <w:basedOn w:val="28"/>
    <w:qFormat/>
    <w:uiPriority w:val="0"/>
  </w:style>
  <w:style w:type="character" w:styleId="36">
    <w:name w:val="Hyperlink"/>
    <w:qFormat/>
    <w:uiPriority w:val="99"/>
    <w:rPr>
      <w:rFonts w:cs="Times New Roman"/>
      <w:color w:val="0000FF"/>
      <w:u w:val="single"/>
    </w:rPr>
  </w:style>
  <w:style w:type="character" w:styleId="37">
    <w:name w:val="HTML Code"/>
    <w:basedOn w:val="28"/>
    <w:qFormat/>
    <w:uiPriority w:val="0"/>
    <w:rPr>
      <w:rFonts w:hint="default" w:ascii="monospace" w:hAnsi="monospace" w:eastAsia="monospace" w:cs="monospace"/>
      <w:sz w:val="20"/>
    </w:rPr>
  </w:style>
  <w:style w:type="character" w:styleId="38">
    <w:name w:val="annotation reference"/>
    <w:basedOn w:val="28"/>
    <w:qFormat/>
    <w:uiPriority w:val="0"/>
    <w:rPr>
      <w:sz w:val="21"/>
      <w:szCs w:val="21"/>
    </w:rPr>
  </w:style>
  <w:style w:type="character" w:styleId="39">
    <w:name w:val="HTML Cite"/>
    <w:basedOn w:val="28"/>
    <w:qFormat/>
    <w:uiPriority w:val="0"/>
  </w:style>
  <w:style w:type="character" w:styleId="40">
    <w:name w:val="HTML Keyboard"/>
    <w:basedOn w:val="28"/>
    <w:qFormat/>
    <w:uiPriority w:val="0"/>
    <w:rPr>
      <w:rFonts w:hint="default" w:ascii="monospace" w:hAnsi="monospace" w:eastAsia="monospace" w:cs="monospace"/>
      <w:sz w:val="20"/>
    </w:rPr>
  </w:style>
  <w:style w:type="character" w:styleId="41">
    <w:name w:val="HTML Sample"/>
    <w:basedOn w:val="28"/>
    <w:qFormat/>
    <w:uiPriority w:val="0"/>
    <w:rPr>
      <w:rFonts w:hint="default" w:ascii="monospace" w:hAnsi="monospace" w:eastAsia="monospace" w:cs="monospace"/>
    </w:rPr>
  </w:style>
  <w:style w:type="paragraph" w:customStyle="1" w:styleId="42">
    <w:name w:val="引用1"/>
    <w:basedOn w:val="1"/>
    <w:next w:val="1"/>
    <w:qFormat/>
    <w:uiPriority w:val="0"/>
    <w:pPr>
      <w:widowControl/>
      <w:spacing w:line="400" w:lineRule="exact"/>
      <w:ind w:firstLine="420" w:firstLineChars="200"/>
    </w:pPr>
    <w:rPr>
      <w:i/>
      <w:color w:val="000000"/>
      <w:sz w:val="22"/>
    </w:rPr>
  </w:style>
  <w:style w:type="paragraph" w:customStyle="1" w:styleId="43">
    <w:name w:val="标题 5（有编号）（绿盟科技）"/>
    <w:basedOn w:val="1"/>
    <w:next w:val="44"/>
    <w:qFormat/>
    <w:uiPriority w:val="99"/>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44">
    <w:name w:val="正文（绿盟科技）"/>
    <w:qFormat/>
    <w:uiPriority w:val="99"/>
    <w:pPr>
      <w:spacing w:line="300" w:lineRule="auto"/>
    </w:pPr>
    <w:rPr>
      <w:rFonts w:ascii="Arial" w:hAnsi="Arial" w:eastAsia="宋体" w:cs="黑体"/>
      <w:sz w:val="21"/>
      <w:szCs w:val="21"/>
      <w:lang w:val="en-US" w:eastAsia="zh-CN" w:bidi="ar-SA"/>
    </w:rPr>
  </w:style>
  <w:style w:type="paragraph" w:customStyle="1" w:styleId="45">
    <w:name w:val="Table Paragraph"/>
    <w:basedOn w:val="1"/>
    <w:qFormat/>
    <w:uiPriority w:val="99"/>
    <w:rPr>
      <w:rFonts w:ascii="宋体" w:hAnsi="宋体" w:cs="宋体"/>
    </w:rPr>
  </w:style>
  <w:style w:type="paragraph" w:customStyle="1" w:styleId="4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7">
    <w:name w:val="p0"/>
    <w:basedOn w:val="1"/>
    <w:qFormat/>
    <w:uiPriority w:val="0"/>
    <w:pPr>
      <w:widowControl/>
    </w:pPr>
    <w:rPr>
      <w:kern w:val="0"/>
      <w:szCs w:val="21"/>
    </w:rPr>
  </w:style>
  <w:style w:type="paragraph" w:customStyle="1" w:styleId="48">
    <w:name w:val="段"/>
    <w:qFormat/>
    <w:uiPriority w:val="0"/>
    <w:pPr>
      <w:ind w:firstLine="200" w:firstLineChars="200"/>
      <w:jc w:val="both"/>
    </w:pPr>
    <w:rPr>
      <w:rFonts w:ascii="宋体" w:hAnsi="Times New Roman" w:eastAsia="宋体" w:cs="Times New Roman"/>
      <w:sz w:val="21"/>
      <w:szCs w:val="22"/>
      <w:lang w:val="en-US" w:eastAsia="zh-CN" w:bidi="ar-SA"/>
    </w:rPr>
  </w:style>
  <w:style w:type="character" w:customStyle="1" w:styleId="49">
    <w:name w:val="数字EU Char"/>
    <w:link w:val="50"/>
    <w:qFormat/>
    <w:uiPriority w:val="0"/>
    <w:rPr>
      <w:rFonts w:ascii="EU-F1"/>
      <w:kern w:val="21"/>
      <w:sz w:val="20"/>
      <w:szCs w:val="21"/>
    </w:rPr>
  </w:style>
  <w:style w:type="paragraph" w:customStyle="1" w:styleId="50">
    <w:name w:val="数字EU"/>
    <w:basedOn w:val="1"/>
    <w:link w:val="49"/>
    <w:qFormat/>
    <w:uiPriority w:val="0"/>
    <w:pPr>
      <w:wordWrap w:val="0"/>
      <w:overflowPunct w:val="0"/>
      <w:topLinePunct/>
    </w:pPr>
    <w:rPr>
      <w:rFonts w:ascii="EU-F1"/>
      <w:kern w:val="21"/>
      <w:sz w:val="20"/>
      <w:szCs w:val="21"/>
    </w:rPr>
  </w:style>
  <w:style w:type="paragraph" w:customStyle="1" w:styleId="51">
    <w:name w:val="首行缩进"/>
    <w:basedOn w:val="1"/>
    <w:qFormat/>
    <w:uiPriority w:val="0"/>
    <w:pPr>
      <w:spacing w:line="300" w:lineRule="auto"/>
      <w:ind w:firstLine="420" w:firstLineChars="200"/>
    </w:pPr>
    <w:rPr>
      <w:rFonts w:eastAsia="仿宋"/>
      <w:kern w:val="0"/>
      <w:sz w:val="20"/>
    </w:rPr>
  </w:style>
  <w:style w:type="paragraph" w:customStyle="1" w:styleId="52">
    <w:name w:val="修订1"/>
    <w:qFormat/>
    <w:uiPriority w:val="99"/>
    <w:rPr>
      <w:rFonts w:ascii="Times New Roman" w:hAnsi="Times New Roman" w:eastAsia="宋体" w:cs="Times New Roman"/>
      <w:kern w:val="2"/>
      <w:sz w:val="21"/>
      <w:szCs w:val="24"/>
      <w:lang w:val="en-US" w:eastAsia="zh-CN" w:bidi="ar-SA"/>
    </w:rPr>
  </w:style>
  <w:style w:type="character" w:customStyle="1" w:styleId="53">
    <w:name w:val="正文缩进 字符"/>
    <w:link w:val="12"/>
    <w:qFormat/>
    <w:uiPriority w:val="0"/>
    <w:rPr>
      <w:kern w:val="2"/>
      <w:sz w:val="21"/>
      <w:szCs w:val="24"/>
    </w:rPr>
  </w:style>
  <w:style w:type="paragraph" w:customStyle="1" w:styleId="54">
    <w:name w:val="正文表标题"/>
    <w:next w:val="48"/>
    <w:qFormat/>
    <w:uiPriority w:val="0"/>
    <w:pPr>
      <w:numPr>
        <w:ilvl w:val="0"/>
        <w:numId w:val="2"/>
      </w:numPr>
      <w:tabs>
        <w:tab w:val="left" w:pos="315"/>
      </w:tabs>
      <w:spacing w:beforeLines="50" w:afterLines="50"/>
      <w:jc w:val="center"/>
    </w:pPr>
    <w:rPr>
      <w:rFonts w:ascii="黑体" w:hAnsi="Times New Roman" w:eastAsia="黑体" w:cs="Times New Roman"/>
      <w:sz w:val="21"/>
      <w:lang w:val="en-US" w:eastAsia="zh-CN" w:bidi="ar-SA"/>
    </w:rPr>
  </w:style>
  <w:style w:type="paragraph" w:customStyle="1" w:styleId="55">
    <w:name w:val="List Paragraph_29f86fd5-7614-4920-9e5b-48371bf91c9b"/>
    <w:basedOn w:val="1"/>
    <w:qFormat/>
    <w:uiPriority w:val="99"/>
    <w:pPr>
      <w:ind w:firstLine="420" w:firstLineChars="200"/>
    </w:pPr>
  </w:style>
  <w:style w:type="character" w:customStyle="1" w:styleId="56">
    <w:name w:val="批注框文本 字符"/>
    <w:basedOn w:val="28"/>
    <w:link w:val="17"/>
    <w:qFormat/>
    <w:uiPriority w:val="0"/>
    <w:rPr>
      <w:kern w:val="2"/>
      <w:sz w:val="18"/>
      <w:szCs w:val="18"/>
    </w:rPr>
  </w:style>
  <w:style w:type="character" w:customStyle="1" w:styleId="57">
    <w:name w:val="批注文字 字符"/>
    <w:basedOn w:val="28"/>
    <w:link w:val="13"/>
    <w:qFormat/>
    <w:uiPriority w:val="0"/>
    <w:rPr>
      <w:kern w:val="2"/>
      <w:sz w:val="21"/>
      <w:szCs w:val="24"/>
    </w:rPr>
  </w:style>
  <w:style w:type="character" w:customStyle="1" w:styleId="58">
    <w:name w:val="批注主题 字符"/>
    <w:basedOn w:val="57"/>
    <w:link w:val="25"/>
    <w:qFormat/>
    <w:uiPriority w:val="0"/>
    <w:rPr>
      <w:b/>
      <w:bCs/>
      <w:kern w:val="2"/>
      <w:sz w:val="21"/>
      <w:szCs w:val="24"/>
    </w:rPr>
  </w:style>
  <w:style w:type="character" w:customStyle="1" w:styleId="59">
    <w:name w:val="标题 7 字符1"/>
    <w:basedOn w:val="28"/>
    <w:link w:val="9"/>
    <w:qFormat/>
    <w:uiPriority w:val="0"/>
    <w:rPr>
      <w:b/>
      <w:bCs/>
      <w:kern w:val="2"/>
      <w:sz w:val="24"/>
      <w:szCs w:val="24"/>
    </w:rPr>
  </w:style>
  <w:style w:type="character" w:customStyle="1" w:styleId="60">
    <w:name w:val="标题 7 字符"/>
    <w:qFormat/>
    <w:uiPriority w:val="0"/>
    <w:rPr>
      <w:b/>
      <w:bCs/>
      <w:kern w:val="2"/>
      <w:sz w:val="24"/>
      <w:szCs w:val="24"/>
    </w:rPr>
  </w:style>
  <w:style w:type="character" w:customStyle="1" w:styleId="61">
    <w:name w:val="NormalCharacter"/>
    <w:qFormat/>
    <w:uiPriority w:val="0"/>
  </w:style>
  <w:style w:type="character" w:customStyle="1" w:styleId="62">
    <w:name w:val="标题 3 字符"/>
    <w:basedOn w:val="28"/>
    <w:link w:val="7"/>
    <w:qFormat/>
    <w:uiPriority w:val="0"/>
    <w:rPr>
      <w:b/>
      <w:bCs/>
      <w:kern w:val="2"/>
      <w:sz w:val="32"/>
      <w:szCs w:val="32"/>
    </w:rPr>
  </w:style>
  <w:style w:type="character" w:customStyle="1" w:styleId="63">
    <w:name w:val="标题 8 字符"/>
    <w:basedOn w:val="28"/>
    <w:link w:val="10"/>
    <w:qFormat/>
    <w:uiPriority w:val="0"/>
    <w:rPr>
      <w:rFonts w:ascii="Calibri Light" w:hAnsi="Calibri Light" w:eastAsia="宋体" w:cs="宋体"/>
      <w:kern w:val="2"/>
      <w:sz w:val="24"/>
      <w:szCs w:val="24"/>
    </w:rPr>
  </w:style>
  <w:style w:type="paragraph" w:customStyle="1" w:styleId="64">
    <w:name w:val="Table Text"/>
    <w:basedOn w:val="1"/>
    <w:semiHidden/>
    <w:qFormat/>
    <w:uiPriority w:val="0"/>
    <w:rPr>
      <w:rFonts w:ascii="宋体" w:hAnsi="宋体" w:cs="宋体"/>
      <w:sz w:val="20"/>
      <w:szCs w:val="20"/>
      <w:lang w:eastAsia="en-US"/>
    </w:rPr>
  </w:style>
  <w:style w:type="table" w:customStyle="1" w:styleId="65">
    <w:name w:val="Table Normal"/>
    <w:semiHidden/>
    <w:unhideWhenUsed/>
    <w:qFormat/>
    <w:uiPriority w:val="0"/>
    <w:tblPr>
      <w:tblCellMar>
        <w:top w:w="0" w:type="dxa"/>
        <w:left w:w="0" w:type="dxa"/>
        <w:bottom w:w="0" w:type="dxa"/>
        <w:right w:w="0" w:type="dxa"/>
      </w:tblCellMar>
    </w:tblPr>
  </w:style>
  <w:style w:type="character" w:customStyle="1" w:styleId="66">
    <w:name w:val="font11"/>
    <w:basedOn w:val="28"/>
    <w:qFormat/>
    <w:uiPriority w:val="0"/>
    <w:rPr>
      <w:rFonts w:hint="eastAsia" w:ascii="宋体" w:hAnsi="宋体" w:eastAsia="宋体" w:cs="宋体"/>
      <w:color w:val="000000"/>
      <w:sz w:val="18"/>
      <w:szCs w:val="18"/>
      <w:u w:val="none"/>
    </w:rPr>
  </w:style>
  <w:style w:type="character" w:customStyle="1" w:styleId="67">
    <w:name w:val="next"/>
    <w:basedOn w:val="28"/>
    <w:qFormat/>
    <w:uiPriority w:val="0"/>
    <w:rPr>
      <w:rFonts w:hint="default" w:ascii="element-icons" w:hAnsi="element-icons" w:eastAsia="element-icons" w:cs="element-icons"/>
      <w:color w:val="606266"/>
      <w:u w:val="none"/>
      <w:shd w:val="clear" w:color="auto" w:fill="F4F4F5"/>
    </w:rPr>
  </w:style>
  <w:style w:type="character" w:customStyle="1" w:styleId="68">
    <w:name w:val="first-child"/>
    <w:basedOn w:val="28"/>
    <w:qFormat/>
    <w:uiPriority w:val="0"/>
  </w:style>
  <w:style w:type="character" w:customStyle="1" w:styleId="69">
    <w:name w:val="first-child1"/>
    <w:basedOn w:val="28"/>
    <w:qFormat/>
    <w:uiPriority w:val="0"/>
  </w:style>
  <w:style w:type="character" w:customStyle="1" w:styleId="70">
    <w:name w:val="not([class*=suffix])"/>
    <w:basedOn w:val="28"/>
    <w:qFormat/>
    <w:uiPriority w:val="0"/>
  </w:style>
  <w:style w:type="character" w:customStyle="1" w:styleId="71">
    <w:name w:val="not([class*=suffix])1"/>
    <w:basedOn w:val="28"/>
    <w:qFormat/>
    <w:uiPriority w:val="0"/>
    <w:rPr>
      <w:sz w:val="19"/>
      <w:szCs w:val="19"/>
    </w:rPr>
  </w:style>
  <w:style w:type="character" w:customStyle="1" w:styleId="72">
    <w:name w:val="hover2"/>
    <w:basedOn w:val="28"/>
    <w:qFormat/>
    <w:uiPriority w:val="0"/>
    <w:rPr>
      <w:b/>
      <w:bCs/>
      <w:color w:val="CF0010"/>
    </w:rPr>
  </w:style>
  <w:style w:type="character" w:customStyle="1" w:styleId="73">
    <w:name w:val="prev"/>
    <w:basedOn w:val="28"/>
    <w:qFormat/>
    <w:uiPriority w:val="0"/>
    <w:rPr>
      <w:rFonts w:hint="default" w:ascii="element-icons" w:hAnsi="element-icons" w:eastAsia="element-icons" w:cs="element-icons"/>
      <w:color w:val="606266"/>
      <w:u w:val="none"/>
      <w:shd w:val="clear" w:color="auto" w:fill="F4F4F5"/>
    </w:rPr>
  </w:style>
  <w:style w:type="character" w:customStyle="1" w:styleId="74">
    <w:name w:val="layui-layer-tabnow"/>
    <w:basedOn w:val="28"/>
    <w:qFormat/>
    <w:uiPriority w:val="0"/>
    <w:rPr>
      <w:bdr w:val="single" w:color="CCCCCC" w:sz="6" w:space="0"/>
      <w:shd w:val="clear" w:color="auto" w:fill="FFFFFF"/>
    </w:rPr>
  </w:style>
  <w:style w:type="paragraph" w:customStyle="1" w:styleId="75">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76">
    <w:name w:val="Quote"/>
    <w:basedOn w:val="1"/>
    <w:next w:val="1"/>
    <w:qFormat/>
    <w:uiPriority w:val="29"/>
    <w:pPr>
      <w:adjustRightInd w:val="0"/>
      <w:snapToGrid w:val="0"/>
      <w:jc w:val="left"/>
    </w:pPr>
    <w:rPr>
      <w:rFonts w:asciiTheme="minorHAnsi" w:hAnsiTheme="minorHAnsi" w:cstheme="minorBidi"/>
      <w:iCs/>
      <w:color w:val="000000" w:themeColor="text1"/>
      <w:szCs w:val="2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png"/><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55</Pages>
  <Words>13473</Words>
  <Characters>13966</Characters>
  <Lines>213</Lines>
  <Paragraphs>60</Paragraphs>
  <TotalTime>19</TotalTime>
  <ScaleCrop>false</ScaleCrop>
  <LinksUpToDate>false</LinksUpToDate>
  <CharactersWithSpaces>14045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2024-07-02T02:47:00Z</dcterms:created>
  <dc:creator>Linsanity</dc:creator>
  <cp:lastModifiedBy>lenovo</cp:lastModifiedBy>
  <cp:lastPrinted>2025-06-06T01:27:00Z</cp:lastPrinted>
  <dcterms:modified xsi:type="dcterms:W3CDTF">2025-06-06T02:11:50Z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7BD9214F0A814B6497DF1AD55F63FCDB_13</vt:lpwstr>
  </property>
  <property fmtid="{D5CDD505-2E9C-101B-9397-08002B2CF9AE}" pid="4" name="KSOTemplateDocerSaveRecord">
    <vt:lpwstr>eyJoZGlkIjoiNTI4NTZlMzVlZjAwMjhjMDk0ZDE1ZDk2ODI4MDc1NzYiLCJ1c2VySWQiOiI2MTk1Mjc0MjQifQ==</vt:lpwstr>
  </property>
</Properties>
</file>