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3BD3753E">
      <w:pPr>
        <w:snapToGrid w:val="0"/>
        <w:spacing w:line="560" w:lineRule="exact"/>
        <w:jc w:val="center"/>
        <w:rPr>
          <w:rFonts w:hint="eastAsia" w:ascii="Times New Roman" w:hAnsi="Times New Roman" w:eastAsia="宋体" w:cs="Times New Roman"/>
          <w:b/>
          <w:bCs/>
          <w:kern w:val="44"/>
          <w:sz w:val="44"/>
          <w:szCs w:val="44"/>
          <w:highlight w:val="red"/>
          <w:lang w:val="en-US" w:eastAsia="zh-CN" w:bidi="en-US"/>
        </w:rPr>
      </w:pPr>
      <w:r>
        <w:rPr>
          <w:rFonts w:hint="eastAsia" w:ascii="Times New Roman" w:hAnsi="Times New Roman" w:cs="Times New Roman"/>
          <w:b/>
          <w:bCs/>
          <w:kern w:val="44"/>
          <w:sz w:val="44"/>
          <w:szCs w:val="44"/>
          <w:highlight w:val="none"/>
          <w:lang w:val="en-US" w:eastAsia="zh-CN" w:bidi="en-US"/>
        </w:rPr>
        <w:t>绵九</w:t>
      </w:r>
      <w:r>
        <w:rPr>
          <w:rFonts w:hint="eastAsia" w:ascii="Times New Roman" w:hAnsi="Times New Roman" w:eastAsia="宋体" w:cs="Times New Roman"/>
          <w:b/>
          <w:bCs/>
          <w:kern w:val="44"/>
          <w:sz w:val="44"/>
          <w:szCs w:val="44"/>
          <w:highlight w:val="none"/>
          <w:lang w:val="en-US" w:eastAsia="zh-CN" w:bidi="en-US"/>
        </w:rPr>
        <w:t>高速</w:t>
      </w:r>
      <w:r>
        <w:rPr>
          <w:rFonts w:hint="eastAsia" w:ascii="Times New Roman" w:hAnsi="Times New Roman" w:cs="Times New Roman"/>
          <w:b/>
          <w:bCs/>
          <w:kern w:val="44"/>
          <w:sz w:val="44"/>
          <w:szCs w:val="44"/>
          <w:highlight w:val="none"/>
          <w:lang w:val="en-US" w:eastAsia="zh-CN" w:bidi="en-US"/>
        </w:rPr>
        <w:t>药丛山</w:t>
      </w:r>
      <w:r>
        <w:rPr>
          <w:rFonts w:hint="eastAsia" w:ascii="Times New Roman" w:hAnsi="Times New Roman" w:eastAsia="宋体" w:cs="Times New Roman"/>
          <w:b/>
          <w:bCs/>
          <w:kern w:val="44"/>
          <w:sz w:val="44"/>
          <w:szCs w:val="44"/>
          <w:highlight w:val="none"/>
          <w:lang w:val="en-US" w:eastAsia="zh-CN" w:bidi="en-US"/>
        </w:rPr>
        <w:t>服务</w:t>
      </w:r>
      <w:r>
        <w:rPr>
          <w:rFonts w:hint="default" w:ascii="Times New Roman" w:hAnsi="Times New Roman" w:eastAsia="宋体" w:cs="Times New Roman"/>
          <w:b/>
          <w:bCs/>
          <w:kern w:val="44"/>
          <w:sz w:val="44"/>
          <w:szCs w:val="44"/>
          <w:highlight w:val="none"/>
          <w:lang w:val="en-US" w:eastAsia="zh-CN" w:bidi="en-US"/>
        </w:rPr>
        <w:t>区</w:t>
      </w:r>
    </w:p>
    <w:p w14:paraId="6C577AEB">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spacing w:val="0"/>
          <w:w w:val="100"/>
          <w:kern w:val="44"/>
          <w:sz w:val="44"/>
          <w:szCs w:val="44"/>
          <w:highlight w:val="none"/>
          <w:lang w:val="en-US" w:eastAsia="zh-CN" w:bidi="en-US"/>
        </w:rPr>
        <w:t>充电站</w:t>
      </w:r>
      <w:r>
        <w:rPr>
          <w:rFonts w:hint="eastAsia" w:ascii="Times New Roman" w:hAnsi="Times New Roman" w:eastAsia="宋体" w:cs="Times New Roman"/>
          <w:b/>
          <w:bCs/>
          <w:kern w:val="44"/>
          <w:sz w:val="44"/>
          <w:szCs w:val="44"/>
          <w:highlight w:val="none"/>
          <w:lang w:val="en-US" w:eastAsia="zh-CN" w:bidi="en-US"/>
        </w:rPr>
        <w:t>新建工程</w:t>
      </w:r>
    </w:p>
    <w:p w14:paraId="49AB2127">
      <w:pPr>
        <w:spacing w:line="360" w:lineRule="auto"/>
        <w:rPr>
          <w:rFonts w:ascii="Times New Roman" w:hAnsi="Times New Roman" w:cs="Times New Roman"/>
          <w:b/>
          <w:color w:val="000000"/>
          <w:sz w:val="44"/>
          <w:szCs w:val="44"/>
          <w:highlight w:val="none"/>
        </w:rPr>
      </w:pP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七</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bCs w:val="0"/>
          <w:color w:val="000000"/>
          <w:kern w:val="2"/>
          <w:sz w:val="30"/>
          <w:szCs w:val="30"/>
          <w:highlight w:val="none"/>
          <w:lang w:val="en-US" w:eastAsia="zh-CN" w:bidi="en-US"/>
        </w:rPr>
        <w:t xml:space="preserve"> </w:t>
      </w:r>
      <w:r>
        <w:rPr>
          <w:rFonts w:hint="eastAsia" w:ascii="Times New Roman" w:hAnsi="Times New Roman" w:eastAsia="宋体" w:cs="Times New Roman"/>
          <w:b/>
          <w:bCs/>
          <w:color w:val="000000"/>
          <w:kern w:val="44"/>
          <w:sz w:val="30"/>
          <w:szCs w:val="30"/>
          <w:highlight w:val="none"/>
          <w:lang w:val="en-US" w:eastAsia="zh-CN" w:bidi="ar-SA"/>
        </w:rPr>
        <w:t xml:space="preserve"> 绵九高速药丛山服务</w:t>
      </w:r>
      <w:r>
        <w:rPr>
          <w:rFonts w:hint="default" w:ascii="Times New Roman" w:hAnsi="Times New Roman" w:eastAsia="宋体" w:cs="Times New Roman"/>
          <w:b/>
          <w:bCs/>
          <w:color w:val="000000"/>
          <w:kern w:val="44"/>
          <w:sz w:val="30"/>
          <w:szCs w:val="30"/>
          <w:highlight w:val="none"/>
          <w:lang w:val="en-US" w:eastAsia="zh-CN" w:bidi="ar-SA"/>
        </w:rPr>
        <w:t>区</w:t>
      </w:r>
      <w:r>
        <w:rPr>
          <w:rFonts w:hint="eastAsia" w:ascii="Times New Roman" w:hAnsi="Times New Roman" w:eastAsia="宋体" w:cs="Times New Roman"/>
          <w:b/>
          <w:bCs/>
          <w:color w:val="000000"/>
          <w:kern w:val="44"/>
          <w:sz w:val="30"/>
          <w:szCs w:val="30"/>
          <w:highlight w:val="none"/>
          <w:lang w:val="en-US" w:eastAsia="zh-CN" w:bidi="ar-SA"/>
        </w:rPr>
        <w:t>充电站新建工程</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绵九高速药丛山服务</w:t>
      </w:r>
      <w:r>
        <w:rPr>
          <w:rFonts w:hint="default" w:ascii="Calibri" w:hAnsi="Calibri" w:eastAsia="宋体" w:cs="Times New Roman"/>
          <w:b w:val="0"/>
          <w:bCs w:val="0"/>
          <w:color w:val="000000"/>
          <w:kern w:val="0"/>
          <w:sz w:val="21"/>
          <w:szCs w:val="21"/>
          <w:highlight w:val="none"/>
          <w:u w:val="single"/>
          <w:lang w:val="en-US" w:eastAsia="zh-CN" w:bidi="ar-SA"/>
        </w:rPr>
        <w:t>区</w:t>
      </w:r>
      <w:r>
        <w:rPr>
          <w:rFonts w:hint="eastAsia" w:ascii="Calibri" w:hAnsi="Calibri" w:eastAsia="宋体" w:cs="Times New Roman"/>
          <w:b w:val="0"/>
          <w:bCs w:val="0"/>
          <w:color w:val="000000"/>
          <w:kern w:val="0"/>
          <w:sz w:val="21"/>
          <w:szCs w:val="21"/>
          <w:highlight w:val="none"/>
          <w:u w:val="single"/>
          <w:lang w:val="en-US" w:eastAsia="zh-CN" w:bidi="ar-SA"/>
        </w:rPr>
        <w:t>充电站新建工程</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3</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226</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w:t>
      </w:r>
      <w:r>
        <w:rPr>
          <w:rFonts w:hint="default" w:ascii="Calibri" w:hAnsi="Calibri" w:eastAsia="宋体" w:cs="Times New Roman"/>
          <w:b w:val="0"/>
          <w:bCs w:val="0"/>
          <w:color w:val="000000"/>
          <w:kern w:val="0"/>
          <w:sz w:val="21"/>
          <w:szCs w:val="21"/>
          <w:highlight w:val="none"/>
          <w:u w:val="single"/>
          <w:lang w:val="en-US" w:eastAsia="zh-CN" w:bidi="ar-SA"/>
        </w:rPr>
        <w:t>2303-510727-04-01-222320</w:t>
      </w:r>
      <w:r>
        <w:rPr>
          <w:rFonts w:hint="eastAsia" w:ascii="Calibri" w:hAnsi="Calibri" w:eastAsia="宋体" w:cs="Times New Roman"/>
          <w:b w:val="0"/>
          <w:bCs w:val="0"/>
          <w:color w:val="000000"/>
          <w:kern w:val="0"/>
          <w:sz w:val="21"/>
          <w:szCs w:val="21"/>
          <w:highlight w:val="none"/>
          <w:u w:val="single"/>
          <w:lang w:val="en-US" w:eastAsia="zh-CN" w:bidi="ar-SA"/>
        </w:rPr>
        <w:t>】FGQB-</w:t>
      </w:r>
      <w:r>
        <w:rPr>
          <w:rFonts w:hint="default" w:ascii="Calibri" w:hAnsi="Calibri" w:eastAsia="宋体" w:cs="Times New Roman"/>
          <w:b w:val="0"/>
          <w:bCs w:val="0"/>
          <w:color w:val="000000"/>
          <w:kern w:val="0"/>
          <w:sz w:val="21"/>
          <w:szCs w:val="21"/>
          <w:highlight w:val="none"/>
          <w:u w:val="single"/>
          <w:lang w:val="en-US" w:eastAsia="zh-CN" w:bidi="ar-SA"/>
        </w:rPr>
        <w:t>009</w:t>
      </w:r>
      <w:r>
        <w:rPr>
          <w:rFonts w:hint="eastAsia" w:ascii="Calibri" w:hAnsi="Calibri" w:eastAsia="宋体" w:cs="Times New Roman"/>
          <w:b w:val="0"/>
          <w:bCs w:val="0"/>
          <w:color w:val="000000"/>
          <w:kern w:val="0"/>
          <w:sz w:val="21"/>
          <w:szCs w:val="21"/>
          <w:highlight w:val="none"/>
          <w:u w:val="single"/>
          <w:lang w:val="en-US" w:eastAsia="zh-CN" w:bidi="ar-SA"/>
        </w:rPr>
        <w:t>1号</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绵九高速药丛山服务</w:t>
      </w:r>
      <w:r>
        <w:rPr>
          <w:rFonts w:hint="default" w:ascii="Calibri" w:hAnsi="Calibri" w:eastAsia="宋体" w:cs="Times New Roman"/>
          <w:b w:val="0"/>
          <w:bCs w:val="0"/>
          <w:color w:val="000000"/>
          <w:kern w:val="0"/>
          <w:sz w:val="21"/>
          <w:szCs w:val="21"/>
          <w:highlight w:val="none"/>
          <w:u w:val="single"/>
          <w:lang w:val="en-US" w:eastAsia="zh-CN" w:bidi="ar-SA"/>
        </w:rPr>
        <w:t>区</w:t>
      </w:r>
      <w:r>
        <w:rPr>
          <w:rFonts w:hint="eastAsia" w:ascii="Calibri" w:hAnsi="Calibri" w:eastAsia="宋体" w:cs="Times New Roman"/>
          <w:b w:val="0"/>
          <w:bCs w:val="0"/>
          <w:color w:val="000000"/>
          <w:kern w:val="0"/>
          <w:sz w:val="21"/>
          <w:szCs w:val="21"/>
          <w:highlight w:val="none"/>
          <w:u w:val="single"/>
          <w:lang w:val="en-US" w:eastAsia="zh-CN" w:bidi="ar-SA"/>
        </w:rPr>
        <w:t>充电站新建工程</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绵九高速药丛山服务</w:t>
      </w:r>
      <w:r>
        <w:rPr>
          <w:rFonts w:hint="default" w:ascii="Calibri" w:hAnsi="Calibri" w:eastAsia="宋体" w:cs="Times New Roman"/>
          <w:b w:val="0"/>
          <w:bCs w:val="0"/>
          <w:color w:val="000000"/>
          <w:kern w:val="0"/>
          <w:sz w:val="21"/>
          <w:szCs w:val="21"/>
          <w:highlight w:val="none"/>
          <w:u w:val="single"/>
          <w:lang w:val="en-US" w:eastAsia="zh-CN" w:bidi="ar-SA"/>
        </w:rPr>
        <w:t>区</w:t>
      </w:r>
      <w:r>
        <w:rPr>
          <w:rFonts w:hint="eastAsia" w:cs="Times New Roman"/>
          <w:b w:val="0"/>
          <w:bCs w:val="0"/>
          <w:color w:val="000000"/>
          <w:kern w:val="0"/>
          <w:sz w:val="21"/>
          <w:szCs w:val="21"/>
          <w:highlight w:val="none"/>
          <w:u w:val="single"/>
          <w:lang w:val="en-US" w:eastAsia="zh-CN" w:bidi="en-US"/>
        </w:rPr>
        <w:t>（双侧）</w:t>
      </w:r>
    </w:p>
    <w:p w14:paraId="098046DA">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ascii="Times New Roman" w:hAnsi="Times New Roman" w:cs="Times New Roman"/>
          <w:color w:val="000000"/>
          <w:kern w:val="0"/>
          <w:szCs w:val="21"/>
          <w:highlight w:val="none"/>
        </w:rPr>
        <w:t>2.3 项目规模：</w:t>
      </w:r>
      <w:r>
        <w:rPr>
          <w:rFonts w:hint="default" w:ascii="Calibri" w:hAnsi="Calibri" w:eastAsia="宋体" w:cs="Times New Roman"/>
          <w:b w:val="0"/>
          <w:bCs w:val="0"/>
          <w:color w:val="000000"/>
          <w:kern w:val="0"/>
          <w:sz w:val="21"/>
          <w:szCs w:val="21"/>
          <w:highlight w:val="none"/>
          <w:lang w:val="en-US" w:eastAsia="zh-CN" w:bidi="ar-SA"/>
        </w:rPr>
        <w:t>拟</w:t>
      </w:r>
      <w:r>
        <w:rPr>
          <w:rFonts w:hint="eastAsia" w:cs="Times New Roman"/>
          <w:b w:val="0"/>
          <w:bCs w:val="0"/>
          <w:color w:val="000000"/>
          <w:kern w:val="0"/>
          <w:sz w:val="21"/>
          <w:szCs w:val="21"/>
          <w:highlight w:val="none"/>
          <w:lang w:val="en-US" w:eastAsia="zh-CN" w:bidi="ar-SA"/>
        </w:rPr>
        <w:t>在</w:t>
      </w:r>
      <w:r>
        <w:rPr>
          <w:rFonts w:hint="eastAsia" w:ascii="Calibri" w:hAnsi="Calibri" w:eastAsia="宋体" w:cs="Times New Roman"/>
          <w:b w:val="0"/>
          <w:bCs w:val="0"/>
          <w:color w:val="000000"/>
          <w:kern w:val="0"/>
          <w:sz w:val="21"/>
          <w:szCs w:val="21"/>
          <w:highlight w:val="none"/>
          <w:u w:val="none"/>
          <w:lang w:val="en-US" w:eastAsia="zh-CN" w:bidi="ar-SA"/>
        </w:rPr>
        <w:t>绵九高速药丛山服务</w:t>
      </w:r>
      <w:r>
        <w:rPr>
          <w:rFonts w:hint="default" w:ascii="Calibri" w:hAnsi="Calibri" w:eastAsia="宋体" w:cs="Times New Roman"/>
          <w:b w:val="0"/>
          <w:bCs w:val="0"/>
          <w:color w:val="000000"/>
          <w:kern w:val="0"/>
          <w:sz w:val="21"/>
          <w:szCs w:val="21"/>
          <w:highlight w:val="none"/>
          <w:u w:val="none"/>
          <w:lang w:val="en-US" w:eastAsia="zh-CN" w:bidi="ar-SA"/>
        </w:rPr>
        <w:t>区</w:t>
      </w:r>
      <w:r>
        <w:rPr>
          <w:rFonts w:hint="eastAsia" w:ascii="Times New Roman" w:hAnsi="Times New Roman" w:cs="Times New Roman"/>
          <w:color w:val="000000"/>
          <w:kern w:val="0"/>
          <w:szCs w:val="21"/>
          <w:highlight w:val="none"/>
          <w:u w:val="none"/>
          <w:lang w:val="en-US" w:eastAsia="zh-CN"/>
        </w:rPr>
        <w:t>双侧</w:t>
      </w:r>
      <w:r>
        <w:rPr>
          <w:rFonts w:hint="default" w:ascii="Calibri" w:hAnsi="Calibri" w:eastAsia="宋体" w:cs="Times New Roman"/>
          <w:b w:val="0"/>
          <w:bCs w:val="0"/>
          <w:color w:val="000000"/>
          <w:kern w:val="0"/>
          <w:sz w:val="21"/>
          <w:szCs w:val="21"/>
          <w:highlight w:val="none"/>
          <w:u w:val="none"/>
          <w:lang w:val="en-US" w:eastAsia="zh-CN" w:bidi="ar-SA"/>
        </w:rPr>
        <w:t>充</w:t>
      </w:r>
      <w:r>
        <w:rPr>
          <w:rFonts w:hint="default" w:ascii="Calibri" w:hAnsi="Calibri" w:eastAsia="宋体" w:cs="Times New Roman"/>
          <w:b w:val="0"/>
          <w:bCs w:val="0"/>
          <w:color w:val="000000"/>
          <w:kern w:val="0"/>
          <w:sz w:val="21"/>
          <w:szCs w:val="21"/>
          <w:highlight w:val="none"/>
          <w:lang w:val="en-US" w:eastAsia="zh-CN" w:bidi="ar-SA"/>
        </w:rPr>
        <w:t>电站</w:t>
      </w:r>
      <w:r>
        <w:rPr>
          <w:rFonts w:hint="eastAsia" w:cs="Times New Roman"/>
          <w:b w:val="0"/>
          <w:bCs w:val="0"/>
          <w:color w:val="000000"/>
          <w:kern w:val="0"/>
          <w:sz w:val="21"/>
          <w:szCs w:val="21"/>
          <w:highlight w:val="none"/>
          <w:lang w:val="en-US" w:eastAsia="zh-CN" w:bidi="ar-SA"/>
        </w:rPr>
        <w:t>新敷设高低压电缆、新建分支箱、</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w:t>
      </w:r>
      <w:r>
        <w:rPr>
          <w:rFonts w:hint="eastAsia" w:cs="Times New Roman"/>
          <w:b w:val="0"/>
          <w:bCs w:val="0"/>
          <w:color w:val="000000"/>
          <w:kern w:val="0"/>
          <w:sz w:val="21"/>
          <w:szCs w:val="21"/>
          <w:highlight w:val="none"/>
          <w:lang w:val="en-US" w:eastAsia="zh-CN" w:bidi="ar-SA"/>
        </w:rPr>
        <w:t>低压配电柜；</w:t>
      </w:r>
      <w:r>
        <w:rPr>
          <w:rFonts w:hint="eastAsia" w:ascii="Times New Roman" w:hAnsi="Times New Roman" w:eastAsia="宋体" w:cs="Times New Roman"/>
          <w:color w:val="000000"/>
          <w:kern w:val="0"/>
          <w:szCs w:val="21"/>
          <w:highlight w:val="none"/>
          <w:lang w:val="en-US" w:eastAsia="zh-CN"/>
        </w:rPr>
        <w:t>新建</w:t>
      </w:r>
      <w:r>
        <w:rPr>
          <w:rFonts w:hint="default" w:ascii="Times New Roman" w:hAnsi="Times New Roman" w:eastAsia="宋体" w:cs="Times New Roman"/>
          <w:color w:val="000000"/>
          <w:kern w:val="0"/>
          <w:szCs w:val="21"/>
          <w:highlight w:val="none"/>
          <w:lang w:val="en-US" w:eastAsia="zh-CN"/>
        </w:rPr>
        <w:t>充电设备基础、</w:t>
      </w:r>
      <w:r>
        <w:rPr>
          <w:rFonts w:hint="eastAsia" w:cs="Times New Roman"/>
          <w:b w:val="0"/>
          <w:bCs w:val="0"/>
          <w:color w:val="000000"/>
          <w:kern w:val="0"/>
          <w:sz w:val="21"/>
          <w:szCs w:val="21"/>
          <w:highlight w:val="none"/>
          <w:lang w:val="en-US" w:eastAsia="zh-CN" w:bidi="ar-SA"/>
        </w:rPr>
        <w:t>电缆排管通道、电缆直埋通道、电缆井；</w:t>
      </w:r>
      <w:r>
        <w:rPr>
          <w:rFonts w:hint="default" w:ascii="Calibri" w:hAnsi="Calibri" w:eastAsia="宋体" w:cs="Times New Roman"/>
          <w:b w:val="0"/>
          <w:bCs w:val="0"/>
          <w:color w:val="000000"/>
          <w:kern w:val="0"/>
          <w:sz w:val="21"/>
          <w:szCs w:val="21"/>
          <w:highlight w:val="none"/>
          <w:lang w:val="en-US" w:eastAsia="zh-CN" w:bidi="ar-SA"/>
        </w:rPr>
        <w:t>安装充电设备、监控系统、照明系统、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、标志标牌等相关设施。充电站拟配置</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台1</w:t>
      </w:r>
      <w:r>
        <w:rPr>
          <w:rFonts w:hint="eastAsia" w:cs="Times New Roman"/>
          <w:b w:val="0"/>
          <w:bCs w:val="0"/>
          <w:color w:val="000000"/>
          <w:kern w:val="0"/>
          <w:sz w:val="21"/>
          <w:szCs w:val="21"/>
          <w:highlight w:val="none"/>
          <w:lang w:val="en-US" w:eastAsia="zh-CN" w:bidi="ar-SA"/>
        </w:rPr>
        <w:t>25</w:t>
      </w:r>
      <w:r>
        <w:rPr>
          <w:rFonts w:hint="default" w:ascii="Calibri" w:hAnsi="Calibri" w:eastAsia="宋体" w:cs="Times New Roman"/>
          <w:b w:val="0"/>
          <w:bCs w:val="0"/>
          <w:color w:val="000000"/>
          <w:kern w:val="0"/>
          <w:sz w:val="21"/>
          <w:szCs w:val="21"/>
          <w:highlight w:val="none"/>
          <w:lang w:val="en-US" w:eastAsia="zh-CN" w:bidi="ar-SA"/>
        </w:rPr>
        <w:t>0 KVA箱式变压器、</w:t>
      </w:r>
      <w:r>
        <w:rPr>
          <w:rFonts w:hint="eastAsia"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台480KW充电堆、</w:t>
      </w:r>
      <w:r>
        <w:rPr>
          <w:rFonts w:hint="eastAsia" w:cs="Times New Roman"/>
          <w:b w:val="0"/>
          <w:bCs w:val="0"/>
          <w:color w:val="000000"/>
          <w:kern w:val="0"/>
          <w:sz w:val="21"/>
          <w:szCs w:val="21"/>
          <w:highlight w:val="none"/>
          <w:lang w:val="en-US" w:eastAsia="zh-CN" w:bidi="ar-SA"/>
        </w:rPr>
        <w:t>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cs="Times New Roman"/>
          <w:b w:val="0"/>
          <w:bCs w:val="0"/>
          <w:color w:val="000000"/>
          <w:kern w:val="0"/>
          <w:sz w:val="21"/>
          <w:szCs w:val="21"/>
          <w:highlight w:val="none"/>
          <w:lang w:val="en-US" w:eastAsia="zh-CN" w:bidi="ar-SA"/>
        </w:rPr>
        <w:t>8</w:t>
      </w:r>
      <w:r>
        <w:rPr>
          <w:rFonts w:hint="default" w:ascii="Calibri" w:hAnsi="Calibri" w:eastAsia="宋体" w:cs="Times New Roman"/>
          <w:b w:val="0"/>
          <w:bCs w:val="0"/>
          <w:color w:val="000000"/>
          <w:kern w:val="0"/>
          <w:sz w:val="21"/>
          <w:szCs w:val="21"/>
          <w:highlight w:val="none"/>
          <w:lang w:val="en-US" w:eastAsia="zh-CN" w:bidi="ar-SA"/>
        </w:rPr>
        <w:t>台</w:t>
      </w:r>
      <w:r>
        <w:rPr>
          <w:rFonts w:hint="eastAsia" w:cs="Times New Roman"/>
          <w:b w:val="0"/>
          <w:bCs w:val="0"/>
          <w:color w:val="000000"/>
          <w:kern w:val="0"/>
          <w:sz w:val="21"/>
          <w:szCs w:val="21"/>
          <w:highlight w:val="none"/>
          <w:lang w:val="en-US" w:eastAsia="zh-CN" w:bidi="ar-SA"/>
        </w:rPr>
        <w:t>（单桩双枪）</w:t>
      </w:r>
      <w:r>
        <w:rPr>
          <w:rFonts w:hint="default" w:ascii="Calibri" w:hAnsi="Calibri" w:eastAsia="宋体" w:cs="Times New Roman"/>
          <w:b w:val="0"/>
          <w:bCs w:val="0"/>
          <w:color w:val="000000"/>
          <w:kern w:val="0"/>
          <w:sz w:val="21"/>
          <w:szCs w:val="21"/>
          <w:highlight w:val="none"/>
          <w:lang w:val="en-US" w:eastAsia="zh-CN" w:bidi="ar-SA"/>
        </w:rPr>
        <w:t>。</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2043361">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（1）包括但不限于新建低压配电箱、充电设备设施（不含充电设备的采购）、电力电缆、保护管、雨棚及相关附属设施施工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网络、监控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、照明、消防、标识标牌等配套设施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凡有意参加比选竞争并符合第三条“比选申请人资格要求”的申请人，请于2025年7月8日至2025年7月13日在四川蜀道新能源科技发展有限公司网站（http://www.sdxnykj.cn/）上免费下载比选文件。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bookmarkStart w:id="83" w:name="_GoBack"/>
      <w:bookmarkEnd w:id="83"/>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7</w:t>
      </w:r>
      <w:r>
        <w:rPr>
          <w:rFonts w:ascii="Times New Roman" w:hAnsi="Times New Roman" w:cs="Times New Roman"/>
          <w:highlight w:val="none"/>
        </w:rPr>
        <w:t>月</w:t>
      </w:r>
      <w:r>
        <w:rPr>
          <w:rFonts w:hint="eastAsia" w:ascii="Times New Roman" w:hAnsi="Times New Roman" w:cs="Times New Roman"/>
          <w:highlight w:val="none"/>
          <w:lang w:val="en-US" w:eastAsia="zh-CN"/>
        </w:rPr>
        <w:t>14</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递交地点：成都市武侯区创业路1号剑恒发展中心</w:t>
      </w:r>
      <w:r>
        <w:rPr>
          <w:rFonts w:hint="eastAsia" w:ascii="Times New Roman" w:hAnsi="Times New Roman" w:cs="Times New Roman"/>
          <w:highlight w:val="none"/>
          <w:lang w:val="en-US" w:eastAsia="zh-CN"/>
        </w:rPr>
        <w:t>2</w:t>
      </w:r>
      <w:r>
        <w:rPr>
          <w:rFonts w:ascii="Times New Roman" w:hAnsi="Times New Roman" w:cs="Times New Roman"/>
          <w:highlight w:val="none"/>
        </w:rPr>
        <w:t>楼会议室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7</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8</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C3EC99B">
      <w:pPr>
        <w:pStyle w:val="2"/>
        <w:jc w:val="both"/>
        <w:rPr>
          <w:sz w:val="36"/>
          <w:szCs w:val="36"/>
          <w:highlight w:val="none"/>
        </w:rPr>
      </w:pPr>
    </w:p>
    <w:p w14:paraId="6438883D">
      <w:pPr>
        <w:rPr>
          <w:sz w:val="36"/>
          <w:szCs w:val="36"/>
          <w:highlight w:val="none"/>
        </w:rPr>
      </w:pPr>
    </w:p>
    <w:p w14:paraId="6DD3BFED">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ascii="Calibri" w:hAnsi="Calibri" w:eastAsia="宋体" w:cs="Times New Roman"/>
                <w:b w:val="0"/>
                <w:bCs w:val="0"/>
                <w:color w:val="000000"/>
                <w:kern w:val="0"/>
                <w:sz w:val="21"/>
                <w:szCs w:val="21"/>
                <w:highlight w:val="none"/>
                <w:u w:val="none"/>
                <w:lang w:val="en-US" w:eastAsia="zh-CN" w:bidi="ar-SA"/>
              </w:rPr>
              <w:t>绵九高速药丛山服务</w:t>
            </w:r>
            <w:r>
              <w:rPr>
                <w:rFonts w:hint="default" w:ascii="Calibri" w:hAnsi="Calibri" w:eastAsia="宋体" w:cs="Times New Roman"/>
                <w:b w:val="0"/>
                <w:bCs w:val="0"/>
                <w:color w:val="000000"/>
                <w:kern w:val="0"/>
                <w:sz w:val="21"/>
                <w:szCs w:val="21"/>
                <w:highlight w:val="none"/>
                <w:u w:val="none"/>
                <w:lang w:val="en-US" w:eastAsia="zh-CN" w:bidi="ar-SA"/>
              </w:rPr>
              <w:t>区</w:t>
            </w:r>
            <w:r>
              <w:rPr>
                <w:rFonts w:hint="eastAsia" w:ascii="Calibri" w:hAnsi="Calibri" w:eastAsia="宋体" w:cs="Times New Roman"/>
                <w:b w:val="0"/>
                <w:bCs w:val="0"/>
                <w:color w:val="000000"/>
                <w:kern w:val="0"/>
                <w:sz w:val="21"/>
                <w:szCs w:val="21"/>
                <w:highlight w:val="none"/>
                <w:u w:val="none"/>
                <w:lang w:val="en-US" w:eastAsia="zh-CN" w:bidi="ar-SA"/>
              </w:rPr>
              <w:t>充电站新建工程</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ascii="Calibri" w:hAnsi="Calibri" w:eastAsia="宋体" w:cs="Times New Roman"/>
                <w:b w:val="0"/>
                <w:bCs w:val="0"/>
                <w:color w:val="000000"/>
                <w:kern w:val="0"/>
                <w:sz w:val="21"/>
                <w:szCs w:val="21"/>
                <w:highlight w:val="none"/>
                <w:u w:val="none"/>
                <w:lang w:val="en-US" w:eastAsia="zh-CN" w:bidi="ar-SA"/>
              </w:rPr>
              <w:t>绵九高速药丛山服务区</w:t>
            </w:r>
            <w:r>
              <w:rPr>
                <w:rFonts w:hint="eastAsia" w:cs="Times New Roman"/>
                <w:b w:val="0"/>
                <w:bCs w:val="0"/>
                <w:color w:val="000000"/>
                <w:kern w:val="0"/>
                <w:sz w:val="21"/>
                <w:szCs w:val="21"/>
                <w:highlight w:val="none"/>
                <w:lang w:val="en-US" w:eastAsia="zh-CN" w:bidi="en-US"/>
              </w:rPr>
              <w:t>（双侧）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12</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14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3"/>
            <w:bookmarkStart w:id="4"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7</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14</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12万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壹拾贰万元整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rPr>
          <w:rStyle w:val="26"/>
          <w:rFonts w:hint="eastAsia" w:ascii="Times New Roman" w:hAnsi="Times New Roman" w:eastAsia="宋体" w:cs="Times New Roman"/>
          <w:color w:val="auto"/>
          <w:sz w:val="32"/>
          <w:szCs w:val="32"/>
          <w:highlight w:val="red"/>
          <w:lang w:eastAsia="zh-CN"/>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绵九高速药丛山服务区充电站新建工程</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C4F085D">
      <w:pPr>
        <w:pStyle w:val="3"/>
        <w:spacing w:line="360" w:lineRule="auto"/>
        <w:rPr>
          <w:rFonts w:ascii="Times New Roman" w:hAnsi="Times New Roman" w:eastAsia="微软雅黑"/>
          <w:b w:val="0"/>
          <w:sz w:val="28"/>
          <w:szCs w:val="28"/>
          <w:highlight w:val="none"/>
        </w:rPr>
      </w:pPr>
    </w:p>
    <w:p w14:paraId="44227990">
      <w:pPr>
        <w:rPr>
          <w:rFonts w:ascii="Times New Roman" w:hAnsi="Times New Roman" w:eastAsia="微软雅黑" w:cs="Times New Roman"/>
          <w:sz w:val="28"/>
          <w:szCs w:val="28"/>
          <w:highlight w:val="none"/>
        </w:rPr>
      </w:pPr>
    </w:p>
    <w:p w14:paraId="61369AE0">
      <w:pPr>
        <w:rPr>
          <w:rFonts w:ascii="Times New Roman" w:hAnsi="Times New Roman" w:eastAsia="微软雅黑" w:cs="Times New Roman"/>
          <w:sz w:val="28"/>
          <w:szCs w:val="28"/>
          <w:highlight w:val="none"/>
        </w:rPr>
      </w:pPr>
    </w:p>
    <w:p w14:paraId="64540333">
      <w:pPr>
        <w:rPr>
          <w:rFonts w:ascii="Times New Roman" w:hAnsi="Times New Roman" w:eastAsia="微软雅黑" w:cs="Times New Roman"/>
          <w:sz w:val="28"/>
          <w:szCs w:val="28"/>
          <w:highlight w:val="none"/>
        </w:rPr>
      </w:pPr>
    </w:p>
    <w:p w14:paraId="3495B5F8">
      <w:pPr>
        <w:rPr>
          <w:rFonts w:ascii="Times New Roman" w:hAnsi="Times New Roman" w:eastAsia="微软雅黑" w:cs="Times New Roman"/>
          <w:sz w:val="28"/>
          <w:szCs w:val="28"/>
          <w:highlight w:val="none"/>
        </w:rPr>
      </w:pPr>
    </w:p>
    <w:p w14:paraId="5B91A85C">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03AE3E1D">
      <w:pPr>
        <w:pStyle w:val="3"/>
        <w:spacing w:line="360" w:lineRule="auto"/>
        <w:jc w:val="center"/>
        <w:rPr>
          <w:rFonts w:ascii="Times New Roman" w:hAnsi="Times New Roman" w:eastAsia="微软雅黑"/>
          <w:b w:val="0"/>
          <w:sz w:val="28"/>
          <w:szCs w:val="28"/>
          <w:highlight w:val="none"/>
        </w:rPr>
      </w:pPr>
      <w:r>
        <w:rPr>
          <w:rFonts w:ascii="Times New Roman" w:hAnsi="Times New Roman" w:eastAsia="微软雅黑"/>
          <w:b w:val="0"/>
          <w:sz w:val="28"/>
          <w:szCs w:val="28"/>
          <w:highlight w:val="none"/>
        </w:rPr>
        <w:t>建设工程施工合同</w:t>
      </w:r>
    </w:p>
    <w:p w14:paraId="7AC950C4">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12A1A0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施工单位（乙方）：</w:t>
      </w:r>
    </w:p>
    <w:p w14:paraId="5BE454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3EEB8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202321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36145E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53953D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  有关合同双方和监理等的词语</w:t>
      </w:r>
    </w:p>
    <w:p w14:paraId="07762F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2C1938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6B4E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22E25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04F28A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1FDF62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6DC1F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4E99E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15945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73118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3DB8BE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03725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69A64D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7FA0E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59F99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480199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2ACD7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40B2C2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0FC06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4C954C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46BB98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5A068D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03DF3D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438D62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583DD3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578FDF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46A258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670B8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17444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3ABA13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436557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21D747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12A4F5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1234C8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3F7AE3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357E2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6B23CC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26B9EF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eastAsia="宋体" w:cs="Times New Roman"/>
          <w:sz w:val="28"/>
          <w:szCs w:val="28"/>
          <w:highlight w:val="none"/>
          <w:lang w:val="en-US" w:eastAsia="zh-CN" w:bidi="en-US"/>
        </w:rPr>
        <w:t>绵九高速药丛山服务</w:t>
      </w:r>
      <w:r>
        <w:rPr>
          <w:rFonts w:hint="default" w:ascii="宋体" w:hAnsi="宋体" w:eastAsia="宋体" w:cs="Times New Roman"/>
          <w:sz w:val="28"/>
          <w:szCs w:val="28"/>
          <w:highlight w:val="none"/>
          <w:lang w:val="en-US" w:eastAsia="zh-CN" w:bidi="en-US"/>
        </w:rPr>
        <w:t>区</w:t>
      </w:r>
      <w:r>
        <w:rPr>
          <w:rFonts w:hint="eastAsia" w:ascii="宋体" w:hAnsi="宋体" w:eastAsia="宋体" w:cs="Times New Roman"/>
          <w:sz w:val="28"/>
          <w:szCs w:val="28"/>
          <w:highlight w:val="none"/>
          <w:lang w:val="en-US" w:eastAsia="zh-CN" w:bidi="en-US"/>
        </w:rPr>
        <w:t>充电站新建工程</w:t>
      </w:r>
      <w:r>
        <w:rPr>
          <w:rFonts w:hint="eastAsia" w:ascii="宋体" w:hAnsi="宋体" w:eastAsia="宋体" w:cs="Times New Roman"/>
          <w:sz w:val="28"/>
          <w:szCs w:val="28"/>
          <w:highlight w:val="none"/>
          <w:lang w:bidi="en-US"/>
        </w:rPr>
        <w:t>（以下</w:t>
      </w:r>
      <w:r>
        <w:rPr>
          <w:rFonts w:hint="eastAsia" w:ascii="宋体" w:hAnsi="宋体" w:cs="Times New Roman"/>
          <w:sz w:val="28"/>
          <w:szCs w:val="28"/>
          <w:highlight w:val="none"/>
          <w:lang w:bidi="en-US"/>
        </w:rPr>
        <w:t>简称“本项目”）</w:t>
      </w:r>
    </w:p>
    <w:p w14:paraId="7C028C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3.2工程地点：</w:t>
      </w:r>
      <w:r>
        <w:rPr>
          <w:rFonts w:hint="eastAsia" w:ascii="宋体" w:hAnsi="宋体" w:cs="Times New Roman"/>
          <w:b w:val="0"/>
          <w:bCs w:val="0"/>
          <w:kern w:val="2"/>
          <w:sz w:val="28"/>
          <w:szCs w:val="28"/>
          <w:highlight w:val="none"/>
          <w:lang w:val="en-US" w:eastAsia="zh-CN" w:bidi="en-US"/>
        </w:rPr>
        <w:t>绵九高速药丛山服务</w:t>
      </w:r>
      <w:r>
        <w:rPr>
          <w:rFonts w:hint="default" w:ascii="宋体" w:hAnsi="宋体" w:cs="Times New Roman"/>
          <w:b w:val="0"/>
          <w:bCs w:val="0"/>
          <w:kern w:val="2"/>
          <w:sz w:val="28"/>
          <w:szCs w:val="28"/>
          <w:highlight w:val="none"/>
          <w:lang w:val="en-US" w:eastAsia="zh-CN" w:bidi="en-US"/>
        </w:rPr>
        <w:t>区</w:t>
      </w:r>
      <w:r>
        <w:rPr>
          <w:rFonts w:hint="eastAsia" w:ascii="宋体" w:hAnsi="宋体" w:cs="Times New Roman"/>
          <w:sz w:val="28"/>
          <w:szCs w:val="28"/>
          <w:highlight w:val="none"/>
          <w:lang w:val="en-US" w:eastAsia="zh-CN" w:bidi="en-US"/>
        </w:rPr>
        <w:t>（两侧）</w:t>
      </w:r>
    </w:p>
    <w:p w14:paraId="3C310F40">
      <w:pPr>
        <w:spacing w:line="600" w:lineRule="exact"/>
        <w:ind w:firstLine="560" w:firstLineChars="200"/>
        <w:rPr>
          <w:rFonts w:hint="eastAsia" w:ascii="宋体" w:hAnsi="宋体" w:cs="Times New Roman"/>
          <w:sz w:val="28"/>
          <w:szCs w:val="28"/>
          <w:highlight w:val="none"/>
          <w:lang w:eastAsia="zh-CN"/>
        </w:rPr>
      </w:pPr>
      <w:r>
        <w:rPr>
          <w:rFonts w:ascii="宋体" w:hAnsi="宋体" w:cs="Times New Roman"/>
          <w:sz w:val="28"/>
          <w:szCs w:val="28"/>
          <w:highlight w:val="none"/>
        </w:rPr>
        <w:t>3.3工程内容：</w:t>
      </w:r>
    </w:p>
    <w:p w14:paraId="52CF758A">
      <w:pPr>
        <w:keepNext w:val="0"/>
        <w:keepLines w:val="0"/>
        <w:pageBreakBefore w:val="0"/>
        <w:numPr>
          <w:ilvl w:val="0"/>
          <w:numId w:val="0"/>
        </w:numPr>
        <w:kinsoku/>
        <w:wordWrap/>
        <w:overflowPunct/>
        <w:topLinePunct w:val="0"/>
        <w:autoSpaceDE/>
        <w:autoSpaceDN/>
        <w:bidi w:val="0"/>
        <w:adjustRightInd/>
        <w:snapToGrid/>
        <w:spacing w:line="578" w:lineRule="exact"/>
        <w:ind w:right="0" w:rightChars="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（1）包括但不限于新建低压配电箱、充电设备设施（不含充电设备的采购）、电力电缆、保护管、雨棚及相关附属设施施工；网络、监控</w:t>
      </w:r>
      <w:r>
        <w:rPr>
          <w:rFonts w:hint="default" w:ascii="Calibri" w:hAnsi="Calibri" w:eastAsia="宋体" w:cs="Times New Roman"/>
          <w:b w:val="0"/>
          <w:bCs w:val="0"/>
          <w:color w:val="000000"/>
          <w:kern w:val="0"/>
          <w:sz w:val="28"/>
          <w:szCs w:val="28"/>
          <w:highlight w:val="none"/>
          <w:lang w:val="en-US" w:eastAsia="zh-CN" w:bidi="ar-SA"/>
        </w:rPr>
        <w:t>（</w:t>
      </w:r>
      <w:r>
        <w:rPr>
          <w:rFonts w:hint="eastAsia" w:ascii="Calibri" w:hAnsi="Calibri" w:eastAsia="宋体" w:cs="Times New Roman"/>
          <w:b w:val="0"/>
          <w:bCs w:val="0"/>
          <w:color w:val="000000"/>
          <w:kern w:val="0"/>
          <w:sz w:val="28"/>
          <w:szCs w:val="28"/>
          <w:highlight w:val="none"/>
          <w:lang w:val="en-US" w:eastAsia="zh-CN" w:bidi="ar-SA"/>
        </w:rPr>
        <w:t>不含</w:t>
      </w:r>
      <w:r>
        <w:rPr>
          <w:rFonts w:hint="default" w:ascii="Calibri" w:hAnsi="Calibri" w:eastAsia="宋体" w:cs="Times New Roman"/>
          <w:b w:val="0"/>
          <w:bCs w:val="0"/>
          <w:color w:val="000000"/>
          <w:kern w:val="0"/>
          <w:sz w:val="28"/>
          <w:szCs w:val="28"/>
          <w:highlight w:val="none"/>
          <w:lang w:val="en-US" w:eastAsia="zh-CN" w:bidi="ar-SA"/>
        </w:rPr>
        <w:t>定制化大模型枪机</w:t>
      </w:r>
      <w:r>
        <w:rPr>
          <w:rFonts w:hint="eastAsia" w:ascii="Calibri" w:hAnsi="Calibri" w:eastAsia="宋体" w:cs="Times New Roman"/>
          <w:b w:val="0"/>
          <w:bCs w:val="0"/>
          <w:color w:val="000000"/>
          <w:kern w:val="0"/>
          <w:sz w:val="28"/>
          <w:szCs w:val="28"/>
          <w:highlight w:val="none"/>
          <w:lang w:val="en-US" w:eastAsia="zh-CN" w:bidi="ar-SA"/>
        </w:rPr>
        <w:t>及</w:t>
      </w:r>
      <w:r>
        <w:rPr>
          <w:rFonts w:hint="default" w:ascii="Calibri" w:hAnsi="Calibri" w:eastAsia="宋体" w:cs="Times New Roman"/>
          <w:b w:val="0"/>
          <w:bCs w:val="0"/>
          <w:color w:val="000000"/>
          <w:kern w:val="0"/>
          <w:sz w:val="28"/>
          <w:szCs w:val="28"/>
          <w:highlight w:val="none"/>
          <w:lang w:val="en-US" w:eastAsia="zh-CN" w:bidi="ar-SA"/>
        </w:rPr>
        <w:t>室外球形摄像头）</w:t>
      </w:r>
      <w:r>
        <w:rPr>
          <w:rFonts w:hint="eastAsia" w:ascii="Calibri" w:hAnsi="Calibri" w:eastAsia="宋体" w:cs="Times New Roman"/>
          <w:b w:val="0"/>
          <w:bCs w:val="0"/>
          <w:color w:val="000000"/>
          <w:kern w:val="0"/>
          <w:sz w:val="28"/>
          <w:szCs w:val="28"/>
          <w:highlight w:val="none"/>
          <w:lang w:val="en-US" w:eastAsia="zh-CN" w:bidi="ar-SA"/>
        </w:rPr>
        <w:t>、照明、消防、标识标牌等配套设施；电气调试、报验（供电局）等以及为保证充电站按期建设和投营使用所需一切设施设备建设及手续办理、协调、后续服务等。</w:t>
      </w:r>
    </w:p>
    <w:p w14:paraId="160CC9DE">
      <w:pPr>
        <w:keepNext w:val="0"/>
        <w:keepLines w:val="0"/>
        <w:pageBreakBefore w:val="0"/>
        <w:numPr>
          <w:ilvl w:val="0"/>
          <w:numId w:val="0"/>
        </w:numPr>
        <w:kinsoku/>
        <w:wordWrap/>
        <w:overflowPunct/>
        <w:topLinePunct w:val="0"/>
        <w:autoSpaceDE/>
        <w:autoSpaceDN/>
        <w:bidi w:val="0"/>
        <w:adjustRightInd/>
        <w:snapToGrid/>
        <w:spacing w:line="578" w:lineRule="exact"/>
        <w:ind w:right="0" w:rightChars="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5676FA84">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（3）须负责承担施工沿线涉及的征地、青苗占用以及本项目施工过程中（含外电配套）所发生的各种协调、附属工作直至项目最终验收合格并通电投营；</w:t>
      </w:r>
    </w:p>
    <w:p w14:paraId="19E2C930">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（4）合理配置无功补偿模块，补偿后确保功率因数达到0.95及以上，若功率因数不达标，由此产生的力调电费由比选申请人承担。</w:t>
      </w:r>
    </w:p>
    <w:p w14:paraId="49A0DC13">
      <w:pPr>
        <w:keepNext w:val="0"/>
        <w:keepLines w:val="0"/>
        <w:pageBreakBefore w:val="0"/>
        <w:kinsoku/>
        <w:wordWrap/>
        <w:overflowPunct/>
        <w:topLinePunct w:val="0"/>
        <w:autoSpaceDE/>
        <w:autoSpaceDN/>
        <w:bidi w:val="0"/>
        <w:adjustRightInd/>
        <w:snapToGrid/>
        <w:spacing w:line="578" w:lineRule="exact"/>
        <w:ind w:right="0" w:firstLine="560" w:firstLineChars="200"/>
        <w:jc w:val="both"/>
        <w:textAlignment w:val="auto"/>
        <w:rPr>
          <w:rFonts w:hint="eastAsia" w:ascii="Calibri" w:hAnsi="Calibri" w:eastAsia="宋体" w:cs="Times New Roman"/>
          <w:b w:val="0"/>
          <w:bCs w:val="0"/>
          <w:color w:val="000000"/>
          <w:kern w:val="0"/>
          <w:sz w:val="28"/>
          <w:szCs w:val="28"/>
          <w:highlight w:val="none"/>
          <w:lang w:val="en-US" w:eastAsia="zh-CN" w:bidi="ar-SA"/>
        </w:rPr>
      </w:pPr>
      <w:r>
        <w:rPr>
          <w:rFonts w:hint="eastAsia" w:ascii="Calibri" w:hAnsi="Calibri" w:eastAsia="宋体" w:cs="Times New Roman"/>
          <w:b w:val="0"/>
          <w:bCs w:val="0"/>
          <w:color w:val="000000"/>
          <w:kern w:val="0"/>
          <w:sz w:val="28"/>
          <w:szCs w:val="28"/>
          <w:highlight w:val="none"/>
          <w:lang w:val="en-US" w:eastAsia="zh-CN" w:bidi="ar-SA"/>
        </w:rPr>
        <w:t>（5）须协助比选人申请减免“大工业用电”基本电费工作。</w:t>
      </w:r>
    </w:p>
    <w:p w14:paraId="4020794A">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257D549D">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1374B7FB">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79F72CE9">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cs="Times New Roman"/>
          <w:sz w:val="28"/>
          <w:szCs w:val="28"/>
          <w:highlight w:val="none"/>
        </w:rPr>
        <w:t>设计施工图纸及工程量清单所示以及与本项目相关的全部施工范围。</w:t>
      </w:r>
    </w:p>
    <w:p w14:paraId="0075984B">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53BB8266">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695E902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064EEEE6">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lang w:val="en-US" w:eastAsia="zh-CN"/>
        </w:rPr>
        <w:t xml:space="preserve"> 60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199AA4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7A5C69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0D2446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4E23C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3566C0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甲方未按合同规定的期限发出开工通知或甲方未能按合同规定向乙方提供开工的必要条件，乙方有权提出延长工期的要求</w:t>
      </w:r>
      <w:r>
        <w:rPr>
          <w:rFonts w:hint="eastAsia" w:ascii="宋体" w:hAnsi="宋体" w:cs="Times New Roman"/>
          <w:sz w:val="28"/>
          <w:szCs w:val="28"/>
          <w:highlight w:val="none"/>
          <w:lang w:val="en-US" w:eastAsia="zh-CN"/>
        </w:rPr>
        <w:t>经甲方同意后延期</w:t>
      </w:r>
      <w:r>
        <w:rPr>
          <w:rFonts w:ascii="宋体" w:hAnsi="宋体" w:cs="Times New Roman"/>
          <w:sz w:val="28"/>
          <w:szCs w:val="28"/>
          <w:highlight w:val="none"/>
        </w:rPr>
        <w:t>，但甲方无需给予补偿任何费用。</w:t>
      </w:r>
    </w:p>
    <w:p w14:paraId="7F5C3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39B6AC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433684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6FFE98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04800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在履行合同过程中，由于甲方的下列原因造成工期延误的，乙方有权向甲方申请延长工期，是否延迟以及工期延长时限由甲方据实确定，且甲方无需补偿</w:t>
      </w:r>
      <w:r>
        <w:rPr>
          <w:rFonts w:hint="eastAsia" w:ascii="宋体" w:hAnsi="宋体" w:cs="Times New Roman"/>
          <w:sz w:val="28"/>
          <w:szCs w:val="28"/>
          <w:highlight w:val="none"/>
          <w:lang w:val="en-US" w:eastAsia="zh-CN"/>
        </w:rPr>
        <w:t>承担任何</w:t>
      </w:r>
      <w:r>
        <w:rPr>
          <w:rFonts w:ascii="宋体" w:hAnsi="宋体" w:cs="Times New Roman"/>
          <w:sz w:val="28"/>
          <w:szCs w:val="28"/>
          <w:highlight w:val="none"/>
        </w:rPr>
        <w:t>停工、窝工等相关费用。</w:t>
      </w:r>
    </w:p>
    <w:p w14:paraId="651B59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00EEA5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89733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55D004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23DA25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5BF215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2635DB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7AB00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471F4F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6B0BA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6DC0CBE5">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33066C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7E502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进度计划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1BF9C0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576017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总工期延误，违约金每天按合同暂定总金额（该合同金额含暂列金，专业工程暂估价及甲供材料的金额）的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43154F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0%的违约金，且乙方应退还甲方支付的所有费用，前述违约金不足以弥补甲方损失的，乙方应另行赔偿损失。</w:t>
      </w:r>
    </w:p>
    <w:p w14:paraId="322E70E4">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182F9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52C227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7FA0AE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4B8B5D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595A0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0CE1ED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33B447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05AF2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551C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187AB0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14568C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786AACFC">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default" w:ascii="宋体" w:hAnsi="宋体" w:eastAsia="宋体" w:cs="Times New Roman"/>
          <w:sz w:val="28"/>
          <w:szCs w:val="28"/>
          <w:highlight w:val="none"/>
          <w:lang w:eastAsia="zh-CN"/>
        </w:rPr>
        <w:t>，</w:t>
      </w:r>
      <w:r>
        <w:rPr>
          <w:rFonts w:hint="default" w:ascii="宋体" w:hAnsi="宋体" w:eastAsia="宋体"/>
          <w:sz w:val="28"/>
          <w:szCs w:val="28"/>
          <w:highlight w:val="none"/>
        </w:rPr>
        <w:t>同时乙方不得因此要求甲方增加费用，停工期间的成本由乙方承担。</w:t>
      </w:r>
    </w:p>
    <w:p w14:paraId="0A8080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p>
    <w:p w14:paraId="6525CF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5A266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6F5DB6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5A8D612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542F0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14042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0639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18AC171B">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rPr>
        <w:t>%，否则甲方有权拒绝付款，且不视为甲方违约，但乙方不得因此怠于履行本合同项下义务。</w:t>
      </w:r>
    </w:p>
    <w:p w14:paraId="6C6C9A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招标控制价清单</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ascii="宋体" w:hAnsi="宋体" w:cs="Times New Roman"/>
          <w:sz w:val="28"/>
          <w:szCs w:val="28"/>
          <w:highlight w:val="none"/>
        </w:rPr>
        <w:t>%，含增值税专票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竣工图纸及招标控制价清单</w:t>
      </w:r>
      <w:r>
        <w:rPr>
          <w:rFonts w:ascii="宋体" w:hAnsi="宋体" w:cs="Times New Roman"/>
          <w:sz w:val="28"/>
          <w:szCs w:val="28"/>
          <w:highlight w:val="none"/>
        </w:rPr>
        <w:t>基础上，按照合同</w:t>
      </w:r>
      <w:r>
        <w:rPr>
          <w:rFonts w:hint="eastAsia" w:ascii="宋体" w:hAnsi="宋体" w:cs="Times New Roman"/>
          <w:sz w:val="28"/>
          <w:szCs w:val="28"/>
          <w:highlight w:val="none"/>
        </w:rPr>
        <w:t>6.3条约定办理。</w:t>
      </w:r>
    </w:p>
    <w:p w14:paraId="19B3A7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p>
    <w:p w14:paraId="402DA18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4013783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04D1062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42DB8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0AD5FC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71A69B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78B73B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54154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3743229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147F1E34">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1F4EA1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32A3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66E714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52DA00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531828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641ACB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开户账号：</w:t>
      </w:r>
    </w:p>
    <w:p w14:paraId="784C42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3CEB0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w:t>
      </w:r>
      <w:r>
        <w:rPr>
          <w:rFonts w:hint="eastAsia" w:ascii="宋体" w:hAnsi="宋体" w:cs="Times New Roman"/>
          <w:sz w:val="28"/>
          <w:szCs w:val="28"/>
          <w:highlight w:val="none"/>
          <w:lang w:val="en-US" w:eastAsia="zh-CN"/>
        </w:rPr>
        <w:t>将相关书面材料</w:t>
      </w:r>
      <w:r>
        <w:rPr>
          <w:rFonts w:ascii="宋体" w:hAnsi="宋体" w:cs="Times New Roman"/>
          <w:sz w:val="28"/>
          <w:szCs w:val="28"/>
          <w:highlight w:val="none"/>
        </w:rPr>
        <w:t>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255E3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09A67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37389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370BD2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1D4A4D76">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16D6E7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工程数量按实结算，计量计价与结算在招标控制价清单基础上按照2013清单计价规范进行，并结合中选取费比例确定结算金额(其中规费以及安全文明施工费不下浮）。</w:t>
      </w:r>
    </w:p>
    <w:p w14:paraId="1F4715E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34E1932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18AB0D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5A0D9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32D1E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》中只有类似变更工作的项目时，则参照清单该项目的单价作为变更估价的基础，经甲方换算后确定。</w:t>
      </w:r>
    </w:p>
    <w:p w14:paraId="3D313E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类似清单项目单价调整方式：凡可以按面积、体积、重量、长度、厚度等比例关系或可换算成这种比例关系（如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规格与清单不同，可按最接近规格换算为面积比例关系折算）的以最相似清单单价按相应比例关系折算；如材料不同仅换算材料价差，不再调整其他费用，除非其严重影响施工工艺和方法。</w:t>
      </w:r>
    </w:p>
    <w:p w14:paraId="6A6D84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》中无类似项目的单价可供参考的，由承包人根据《四川省建设工程工程量清单计价定额》(20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42454C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若取消某工程项目，则该项目的价款不予支付。</w:t>
      </w:r>
    </w:p>
    <w:p w14:paraId="0BA404DF">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36424AFD">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64E3E0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41C690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① 工程竣工结算时，</w:t>
      </w:r>
      <w:r>
        <w:rPr>
          <w:rFonts w:hint="eastAsia" w:ascii="宋体" w:hAnsi="宋体" w:cs="Times New Roman"/>
          <w:sz w:val="28"/>
          <w:szCs w:val="28"/>
          <w:highlight w:val="none"/>
        </w:rPr>
        <w:t>规费</w:t>
      </w:r>
      <w:r>
        <w:rPr>
          <w:rFonts w:ascii="宋体" w:hAnsi="宋体" w:cs="Times New Roman"/>
          <w:sz w:val="28"/>
          <w:szCs w:val="28"/>
          <w:highlight w:val="none"/>
        </w:rPr>
        <w:t>按</w:t>
      </w:r>
      <w:r>
        <w:rPr>
          <w:rFonts w:hint="eastAsia" w:ascii="宋体" w:hAnsi="宋体" w:cs="Times New Roman"/>
          <w:sz w:val="28"/>
          <w:szCs w:val="28"/>
          <w:highlight w:val="none"/>
        </w:rPr>
        <w:t>招标控制价清单金额包干使用进行</w:t>
      </w:r>
      <w:r>
        <w:rPr>
          <w:rFonts w:ascii="宋体" w:hAnsi="宋体" w:cs="Times New Roman"/>
          <w:sz w:val="28"/>
          <w:szCs w:val="28"/>
          <w:highlight w:val="none"/>
        </w:rPr>
        <w:t>结算。</w:t>
      </w:r>
    </w:p>
    <w:p w14:paraId="2EB865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 安全文明施工措施费（文明施工费、安全施工费、环境保护费、临时设施费）按</w:t>
      </w:r>
      <w:r>
        <w:rPr>
          <w:rFonts w:hint="eastAsia" w:ascii="宋体" w:hAnsi="宋体" w:cs="Times New Roman"/>
          <w:sz w:val="28"/>
          <w:szCs w:val="28"/>
          <w:highlight w:val="none"/>
        </w:rPr>
        <w:t>招标控制价清单金额包干使用进行</w:t>
      </w:r>
      <w:r>
        <w:rPr>
          <w:rFonts w:ascii="宋体" w:hAnsi="宋体" w:cs="Times New Roman"/>
          <w:sz w:val="28"/>
          <w:szCs w:val="28"/>
          <w:highlight w:val="none"/>
        </w:rPr>
        <w:t>结算</w:t>
      </w:r>
      <w:r>
        <w:rPr>
          <w:rFonts w:hint="eastAsia" w:ascii="宋体" w:hAnsi="宋体" w:cs="Times New Roman"/>
          <w:sz w:val="28"/>
          <w:szCs w:val="28"/>
          <w:highlight w:val="none"/>
        </w:rPr>
        <w:t>，其余总价措施费（若有）按招标控制价清单金额结合中选取费比例按照合同约定办理</w:t>
      </w:r>
      <w:r>
        <w:rPr>
          <w:rFonts w:ascii="宋体" w:hAnsi="宋体" w:cs="Times New Roman"/>
          <w:sz w:val="28"/>
          <w:szCs w:val="28"/>
          <w:highlight w:val="none"/>
        </w:rPr>
        <w:t>。</w:t>
      </w:r>
    </w:p>
    <w:p w14:paraId="13D52C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③ 计日工按四川省造价站发布的地区性文件执行，乙方不报价，实际发生时，办理签证。</w:t>
      </w:r>
    </w:p>
    <w:p w14:paraId="4365B0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6B181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03F46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770E2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3CBF48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3E98A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D10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4301C08C">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6A85219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6.4.1.1进度款支付节点：按月支付。乙方当月进度款支付申请在次月7日内上报至监理单位审核，监理单位审核完毕后报送至甲方审核，甲方在收到进度款支付申请后14日内完成审核工作。</w:t>
      </w:r>
    </w:p>
    <w:p w14:paraId="662D64F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1C7C8E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6F8D65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63E555F3">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6CA2C1D4">
      <w:pPr>
        <w:spacing w:line="600" w:lineRule="exact"/>
        <w:ind w:firstLine="560" w:firstLineChars="200"/>
        <w:rPr>
          <w:rFonts w:hint="default"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4CA414A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4C3F8A5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不超过本合同金额10%。如甲方同意支付开工预付款，承包人应按照本合同中约定的主要人员到场，施工队伍在甲方及监理单位处进行了登记备案，并将工程进度计划和施工方案说明、预付款申请等提交监理审核，甲方核准后支付开工预付款。</w:t>
      </w:r>
    </w:p>
    <w:p w14:paraId="589536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2799AC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2B57093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710A95C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（2）承包人已出具材料、设备购买费用凭证或支付单据；</w:t>
      </w:r>
    </w:p>
    <w:p w14:paraId="5DE6670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34BF9B2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（4）在施工项目计量（含未扣回材料、设备预付款）累计达到合同款金额80%时，将不再支付材料、设备预付款。</w:t>
      </w:r>
    </w:p>
    <w:p w14:paraId="40A0BC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711137C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59A3974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19BD84E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904916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44D92EB1">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20E43B7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75CD6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1F307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D080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53592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.1.1.1 乙方未在规定时间内向甲方提交竣工结算付款申请单（含完整的工程竣工结算资料），甲方将按每延误一天向乙方扣减5000元违约金。如因乙方提交资料不完整，导致的往复时间计入送审规定时间。</w:t>
      </w:r>
    </w:p>
    <w:p w14:paraId="450A5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若出现合同非正常终止，乙方在合同终止后60个日历天内未向甲方提交已完工程结算付款申请单（含完整的工程竣工结算资料），甲方将按每延误一天向乙方扣减5000元违约金。</w:t>
      </w:r>
    </w:p>
    <w:p w14:paraId="09CC48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.1.1.3 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453A73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甲方确认的竣工结算审核报告。乙方所报结算的最终审核结果与经甲方委托的造价咨询单位审核后的竣工结算金额相比，若审减率超过5%的，超出5%以上部分的结算费用</w:t>
      </w:r>
      <w:r>
        <w:rPr>
          <w:rFonts w:hint="eastAsia" w:ascii="宋体" w:hAnsi="宋体"/>
          <w:sz w:val="28"/>
          <w:szCs w:val="28"/>
          <w:highlight w:val="none"/>
        </w:rPr>
        <w:t>产生的咨询费用</w:t>
      </w:r>
      <w:r>
        <w:rPr>
          <w:rFonts w:hint="eastAsia" w:ascii="宋体" w:hAnsi="宋体"/>
          <w:sz w:val="28"/>
          <w:szCs w:val="28"/>
          <w:highlight w:val="none"/>
          <w:lang w:val="en-US" w:eastAsia="zh-CN"/>
        </w:rPr>
        <w:t>或审核费用</w:t>
      </w:r>
      <w:r>
        <w:rPr>
          <w:rFonts w:ascii="宋体" w:hAnsi="宋体"/>
          <w:sz w:val="28"/>
          <w:szCs w:val="28"/>
          <w:highlight w:val="none"/>
        </w:rPr>
        <w:t>由乙方承担</w:t>
      </w:r>
      <w:r>
        <w:rPr>
          <w:rFonts w:ascii="宋体" w:hAnsi="宋体" w:cs="Times New Roman"/>
          <w:sz w:val="28"/>
          <w:szCs w:val="28"/>
          <w:highlight w:val="none"/>
        </w:rPr>
        <w:t>。</w:t>
      </w:r>
    </w:p>
    <w:p w14:paraId="34FBFC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1E370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D6AF8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4962BC0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28A629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3D3302F">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6A6A99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6C764B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1CBC8C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174E9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1F4725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277D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3C9F2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交付乙方前的质量负责。</w:t>
      </w:r>
    </w:p>
    <w:p w14:paraId="629044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B48E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7FBAE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15C76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75F46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3E725F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983F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5EE553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2DE60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118A17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458A93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744E6E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335A33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673B9F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242A9B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22EB4D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216416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74B0D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550828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05C0B8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以及设备材料质量问题或不符合约定引起的一切损失</w:t>
      </w:r>
      <w:r>
        <w:rPr>
          <w:rFonts w:ascii="宋体" w:hAnsi="宋体" w:cs="Times New Roman"/>
          <w:sz w:val="28"/>
          <w:szCs w:val="28"/>
          <w:highlight w:val="none"/>
        </w:rPr>
        <w:t>。</w:t>
      </w:r>
    </w:p>
    <w:p w14:paraId="4C3C244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16E17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61185A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25C4469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p>
    <w:p w14:paraId="4CF95F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4833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p>
    <w:p w14:paraId="4265E7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这些材料和工程设备不符合合同要求，则应由乙方承担重新检验的费用和工期延误责任；若重新检验结果证明这些材料和工程设备符合合同要求，则应由甲方承担重新检验的费用和工期延误责任。</w:t>
      </w:r>
    </w:p>
    <w:p w14:paraId="356BB5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6B518C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33F873A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5DA6E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1F4DFB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0B9C75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6537590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485793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393C93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625F2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1D4E3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65C9A4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09E734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0AD0CB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303E9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4AEF5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341D6B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p>
    <w:p w14:paraId="3E9F27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3C091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027A09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4BE2A2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甲方应按合同规定的日期向乙方发布开工通知。</w:t>
      </w:r>
    </w:p>
    <w:p w14:paraId="188BE1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0F9BE6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0C54D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6A67F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甲方应按合同规定，完成由甲方承担的施工准备工程，并按合同规定的期限提供乙方使用。</w:t>
      </w:r>
    </w:p>
    <w:p w14:paraId="48E06D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756D1D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421B9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35E9B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1C47DB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0AD281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7ABC2B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1478DA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甲方应按第6.1条、第6.3条和第6.4条的规定支付合同价款。</w:t>
      </w:r>
    </w:p>
    <w:p w14:paraId="5FB45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72B5D7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48CF2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62441E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204A88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9B46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6FB1B4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352807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0ED6FA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0E6DF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4A4DE2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壹拾贰</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120000.00</w:t>
      </w:r>
      <w:r>
        <w:rPr>
          <w:rFonts w:hint="eastAsia" w:ascii="宋体" w:hAnsi="宋体" w:cs="Times New Roman"/>
          <w:sz w:val="28"/>
          <w:szCs w:val="28"/>
          <w:highlight w:val="none"/>
        </w:rPr>
        <w:t>元）。</w:t>
      </w:r>
    </w:p>
    <w:p w14:paraId="09B147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676D2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5D43BD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26829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565165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承包人应保证履约担保在竣工验收合格之前一直有效。</w:t>
      </w:r>
    </w:p>
    <w:p w14:paraId="1802D2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548E9F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0EB6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683ED6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50CE0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21A7F6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1EAEE1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3741E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0BF832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0A7D3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乙方应按合同规定的内容和时间要求，编制施工组织设计、施工措施计划和由乙方负责的施工图纸，报送甲方审批，并对现场作业和施工方法的完备和可靠性负全部责任。</w:t>
      </w:r>
    </w:p>
    <w:p w14:paraId="33BB77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22BF6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24D28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C0F4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31AF4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525400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52F2A9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4AD47B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1843B1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74FD7E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69A8E6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4AB93F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739805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502FA2EA">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1BA7E9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121BDE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9D0D2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1F908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2077FD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77F5EC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2BCF0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4ADD6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414C84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1F2629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4C6BC3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382D34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p>
    <w:p w14:paraId="647E8D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380DE9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BF19B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263E6E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02AE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8D58A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214E2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78A88A9F">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755A1B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3BC6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097AA4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27759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25C58E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52B31C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3A45F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09538F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4AA71D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57868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00448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267532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94DB1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2236A4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3148DC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70117D1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71EEFD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6A65F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7245E7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4093F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6BCD1D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E3398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68A6A6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B57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372807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1F70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397E30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731AF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514ABD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1D1E8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39B58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316EFB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37EA29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672340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1E5ECE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28E2F5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6025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78DAA64A">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 100 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63421EC4">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4B60E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47A92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40C0D8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47AEF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w:t>
      </w:r>
      <w:r>
        <w:rPr>
          <w:rFonts w:hint="eastAsia" w:ascii="宋体" w:hAnsi="宋体" w:cs="Times New Roman"/>
          <w:sz w:val="28"/>
          <w:szCs w:val="28"/>
          <w:highlight w:val="none"/>
        </w:rPr>
        <w:t>归档</w:t>
      </w:r>
      <w:r>
        <w:rPr>
          <w:rFonts w:ascii="宋体" w:hAnsi="宋体" w:cs="Times New Roman"/>
          <w:sz w:val="28"/>
          <w:szCs w:val="28"/>
          <w:highlight w:val="none"/>
        </w:rPr>
        <w:t>整理规范》（GB/T50328-2014）归档资料。若乙方移交的相关资料不能达到甲方的要求，经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6BEB6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751807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229F55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B42D1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0F58E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59FD8A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9.1 开工前 </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 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 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 xml:space="preserve"> 套，国家标准一律由乙方自备。</w:t>
      </w:r>
    </w:p>
    <w:p w14:paraId="3A0C0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3CD97A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1B5E6F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471C49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076247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lang w:val="en-US" w:eastAsia="zh-CN"/>
        </w:rPr>
        <w:t xml:space="preserve"> 12</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 小时内将修改意见或变更设计文件提交乙方，乙方按修改或变更设计文件进行施工，由此增减的费用按有关规定办理。</w:t>
      </w:r>
    </w:p>
    <w:p w14:paraId="53C22A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4AF0AC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5BA2A0D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1125D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6CADF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47E1DC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 合格 标准。</w:t>
      </w:r>
    </w:p>
    <w:p w14:paraId="7007BA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28AD5D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7DFB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7C75D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181475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437CAE1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1D1286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03900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1D5442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3B80F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0C5D7E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43B46A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47598B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705FEF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04CB3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242E27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468272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0D8ABD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2818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261226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21F5C9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7967F3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2027A7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p>
    <w:p w14:paraId="403E8D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1C50AB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其重新检查所需增加的费用和工期延误，按第1</w:t>
      </w:r>
      <w:r>
        <w:rPr>
          <w:rFonts w:hint="eastAsia" w:ascii="宋体" w:hAnsi="宋体" w:cs="Times New Roman"/>
          <w:sz w:val="28"/>
          <w:szCs w:val="28"/>
          <w:highlight w:val="none"/>
        </w:rPr>
        <w:t>7.1.2与17.1.3款</w:t>
      </w:r>
      <w:r>
        <w:rPr>
          <w:rFonts w:ascii="宋体" w:hAnsi="宋体" w:cs="Times New Roman"/>
          <w:sz w:val="28"/>
          <w:szCs w:val="28"/>
          <w:highlight w:val="none"/>
        </w:rPr>
        <w:t>规定的原则划分责任。</w:t>
      </w:r>
    </w:p>
    <w:p w14:paraId="55E43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656EF1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2B671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1894F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569EB8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0A8B2C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3E98F7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1A9F30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3ED51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2AF52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4DBB0B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7E4D4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5688CA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44F53C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38459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3E97E1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22FC95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7D40F9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6DA2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6B632A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65D51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w:t>
      </w:r>
      <w:r>
        <w:rPr>
          <w:rFonts w:hint="eastAsia" w:ascii="宋体" w:hAnsi="宋体" w:cs="Times New Roman"/>
          <w:sz w:val="28"/>
          <w:szCs w:val="28"/>
          <w:highlight w:val="none"/>
          <w:lang w:val="en-US" w:eastAsia="zh-CN"/>
        </w:rPr>
        <w:t xml:space="preserve"> </w:t>
      </w:r>
      <w:r>
        <w:rPr>
          <w:rFonts w:ascii="宋体" w:hAnsi="宋体" w:cs="Times New Roman"/>
          <w:sz w:val="28"/>
          <w:szCs w:val="28"/>
          <w:highlight w:val="none"/>
        </w:rPr>
        <w:t>日不提出修改意见，不视为工程竣工验收合格。</w:t>
      </w:r>
    </w:p>
    <w:p w14:paraId="632BA2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4101B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7B44D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5654A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1592B5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DD2AE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7B9EC3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3D0BAE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48C147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0BE14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231B79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期乙方没有履行质保义务的，甲方有权扣留与未履行责任剩余工作所需金额相应的质量保证金余额，</w:t>
      </w:r>
      <w:r>
        <w:rPr>
          <w:rFonts w:hint="eastAsia" w:ascii="宋体" w:hAnsi="宋体" w:cs="Times New Roman"/>
          <w:sz w:val="28"/>
          <w:szCs w:val="28"/>
          <w:highlight w:val="none"/>
        </w:rPr>
        <w:t>乙方同意甲方可自行决定扣留保证金的具体数额，</w:t>
      </w:r>
      <w:r>
        <w:rPr>
          <w:rFonts w:ascii="宋体" w:hAnsi="宋体" w:cs="Times New Roman"/>
          <w:sz w:val="28"/>
          <w:szCs w:val="28"/>
          <w:highlight w:val="none"/>
        </w:rPr>
        <w:t xml:space="preserve">并有权要求延长缺陷责任期，直至完成剩余工作为止。 </w:t>
      </w:r>
    </w:p>
    <w:p w14:paraId="513A6F70">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12C0DF3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45DD6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40B37B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0D0861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1E0623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77C07D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3050D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037D2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27D9D7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7ADD8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38704D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25CB4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29BDC0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7D6031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5033F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509410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5000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AA36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50BDB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B2B32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5EEB0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18A768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131ED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00D1A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和规章及本合同的有关规定，并应对其违反上述法规和规章和本合同规定所造成的环境破坏以及人员伤害和财产损失负责。</w:t>
      </w:r>
    </w:p>
    <w:p w14:paraId="54E248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A079A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706460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0B7428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218113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521EF8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076237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7F5E21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005BA30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00DC50B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71A3F9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0D9BAB0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7AF30C">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715F1BB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7941C6E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930A4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施工驻地七条</w:t>
      </w:r>
    </w:p>
    <w:p w14:paraId="012BCA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施工驻地选址、设计和建设必须编制专项方案，确保满足消防及防洪、防泥石流、防滑坡、防坍塌、防风、防雷电、防中毒、防雪灾等防灾安全要求，经洪涝、地质灾害危险性评估，并由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2C66C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开展一次风险自评价，建立风险台账，定期开展安全检查，并开展驻地周边延伸排查。驻地周边环境条件发生变化，应立即开展风险评估，并落实安全防范措施。</w:t>
      </w:r>
    </w:p>
    <w:p w14:paraId="200603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532851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5460F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0983C1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054F191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245B8CFD">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3B471E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5E52FB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23088C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708B14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49010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66894F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09A7B9F4">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2FA6F43E">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443F69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25DC55B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1F16096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57329FE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0342D6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7EAEA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532045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05C5E1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乙方应为其执行本合同所雇用的全部人员（包括分包人的人员）承担工伤事故责任。乙方可要求其分包人自行承担自己雇用人员的工伤事故责任。</w:t>
      </w:r>
    </w:p>
    <w:p w14:paraId="78C7CC2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由于乙方过失造成在乙方责任区内工作的甲方的人员伤亡，则应由乙方承担其工伤事故责任。</w:t>
      </w:r>
    </w:p>
    <w:p w14:paraId="6F3760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4BA28DA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乙方对乙方及乙方分包的全部人员工伤事故承担赔偿责任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1825F5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0033FA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4243F8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42A398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7BB61DBB">
      <w:pPr>
        <w:spacing w:line="600" w:lineRule="exact"/>
        <w:ind w:firstLine="560" w:firstLineChars="200"/>
        <w:rPr>
          <w:rFonts w:ascii="宋体" w:hAnsi="宋体" w:cs="Times New Roman"/>
          <w:sz w:val="28"/>
          <w:szCs w:val="28"/>
          <w:highlight w:val="red"/>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177698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6C2676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6F440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228B8D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p>
    <w:p w14:paraId="07E4FA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51D94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17ADE2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58D7D1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6008B0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238D9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0A2F53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739443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1FB327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1375E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382DB0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3832D3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35A73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23666D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411ED5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乙方无正当理由未按开工通知的要求及时进点组织施工和未按签订协议书时商定的进度计划有效地开展施工准备，造成工期延误。</w:t>
      </w:r>
    </w:p>
    <w:p w14:paraId="4D81BC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226AD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56D95B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6687CB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1D4EE6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59AC4D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1A55D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77DF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6F3EB0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077E2EF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2000</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2000</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元/人次。</w:t>
      </w:r>
    </w:p>
    <w:p w14:paraId="201DBD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14336B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648D7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60338F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4A1AB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75C4DD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2BEC4F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2A6740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10A15A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43035C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4C1B5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0F79C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若因乙方违约解除合同，则甲方应暂停对乙方的一切付款，并应在解除合同后甲方认为合适的时间，查清以下付款金额。</w:t>
      </w:r>
    </w:p>
    <w:p w14:paraId="0B5AF5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6301E3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462526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CCEB2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024F02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0D3BF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2EAC59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010A20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61BFE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14884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532E6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29A1B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4DA75BE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eastAsia"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eastAsia" w:ascii="宋体" w:hAnsi="宋体" w:cs="Times New Roman"/>
          <w:sz w:val="28"/>
          <w:szCs w:val="28"/>
          <w:highlight w:val="none"/>
        </w:rPr>
        <w:t>作</w:t>
      </w:r>
      <w:r>
        <w:rPr>
          <w:rFonts w:ascii="宋体" w:hAnsi="宋体" w:cs="Times New Roman"/>
          <w:sz w:val="28"/>
          <w:szCs w:val="28"/>
          <w:highlight w:val="none"/>
        </w:rPr>
        <w:t>等</w:t>
      </w:r>
      <w:r>
        <w:rPr>
          <w:rFonts w:hint="eastAsia" w:ascii="宋体" w:hAnsi="宋体" w:cs="Times New Roman"/>
          <w:sz w:val="28"/>
          <w:szCs w:val="28"/>
          <w:highlight w:val="none"/>
        </w:rPr>
        <w:t>未达到</w:t>
      </w:r>
      <w:r>
        <w:rPr>
          <w:rFonts w:ascii="宋体" w:hAnsi="宋体" w:cs="Times New Roman"/>
          <w:sz w:val="28"/>
          <w:szCs w:val="28"/>
          <w:highlight w:val="none"/>
        </w:rPr>
        <w:t>乙方施工所需的条件。</w:t>
      </w:r>
    </w:p>
    <w:p w14:paraId="3467E0E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eastAsia"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4CC3C1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450497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eastAsia"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eastAsia" w:ascii="宋体" w:hAnsi="宋体" w:cs="Times New Roman"/>
          <w:sz w:val="28"/>
          <w:szCs w:val="28"/>
          <w:highlight w:val="none"/>
          <w:lang w:eastAsia="zh-CN"/>
        </w:rPr>
        <w:t>、</w:t>
      </w:r>
      <w:r>
        <w:rPr>
          <w:rFonts w:ascii="宋体" w:hAnsi="宋体" w:cs="Times New Roman"/>
          <w:sz w:val="28"/>
          <w:szCs w:val="28"/>
          <w:highlight w:val="none"/>
        </w:rPr>
        <w:t>图纸</w:t>
      </w:r>
      <w:r>
        <w:rPr>
          <w:rFonts w:hint="eastAsia"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eastAsia"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71A35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496C0F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eastAsia"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解除合同，则甲方应在解除合同后28天内向乙方支付合同解除日以前甲方认可的乙方所完成工程对应的价款和以下费用（应减去已支付给乙方的金额）：</w:t>
      </w:r>
    </w:p>
    <w:p w14:paraId="0C206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5F2BCD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35303C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乙方设备运回乙方基地或合同另行规定的地点合理费用。</w:t>
      </w:r>
    </w:p>
    <w:p w14:paraId="4DBF9C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由于解除合同应合理补偿乙方损失的费用和利润，补偿总金额</w:t>
      </w:r>
      <w:r>
        <w:rPr>
          <w:rFonts w:hint="eastAsia" w:ascii="宋体" w:hAnsi="宋体" w:cs="Times New Roman"/>
          <w:sz w:val="28"/>
          <w:szCs w:val="28"/>
          <w:highlight w:val="none"/>
        </w:rPr>
        <w:t>须经</w:t>
      </w:r>
      <w:r>
        <w:rPr>
          <w:rFonts w:ascii="宋体" w:hAnsi="宋体" w:cs="Times New Roman"/>
          <w:sz w:val="28"/>
          <w:szCs w:val="28"/>
          <w:highlight w:val="none"/>
        </w:rPr>
        <w:t>双方协商</w:t>
      </w:r>
      <w:r>
        <w:rPr>
          <w:rFonts w:hint="eastAsia" w:ascii="宋体" w:hAnsi="宋体" w:cs="Times New Roman"/>
          <w:sz w:val="28"/>
          <w:szCs w:val="28"/>
          <w:highlight w:val="none"/>
        </w:rPr>
        <w:t>确定</w:t>
      </w:r>
      <w:r>
        <w:rPr>
          <w:rFonts w:ascii="宋体" w:hAnsi="宋体" w:cs="Times New Roman"/>
          <w:sz w:val="28"/>
          <w:szCs w:val="28"/>
          <w:highlight w:val="none"/>
        </w:rPr>
        <w:t>。</w:t>
      </w:r>
    </w:p>
    <w:p w14:paraId="702EC9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4E6B2E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277204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469D57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0F9C6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1C069A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62F91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07D1E8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44BB5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经甲方确认</w:t>
      </w:r>
      <w:r>
        <w:rPr>
          <w:rFonts w:ascii="宋体" w:hAnsi="宋体" w:cs="Times New Roman"/>
          <w:sz w:val="28"/>
          <w:szCs w:val="28"/>
          <w:highlight w:val="none"/>
          <w:lang w:val="zh-TW" w:eastAsia="zh-TW"/>
        </w:rPr>
        <w:t>乙方如</w:t>
      </w:r>
      <w:r>
        <w:rPr>
          <w:rFonts w:ascii="宋体" w:hAnsi="宋体" w:cs="Times New Roman"/>
          <w:sz w:val="28"/>
          <w:szCs w:val="28"/>
          <w:highlight w:val="none"/>
        </w:rPr>
        <w:t>确有</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行为</w:t>
      </w:r>
      <w:r>
        <w:rPr>
          <w:rFonts w:ascii="宋体" w:hAnsi="宋体" w:cs="Times New Roman"/>
          <w:sz w:val="28"/>
          <w:szCs w:val="28"/>
          <w:highlight w:val="none"/>
          <w:lang w:val="zh-TW" w:eastAsia="zh-TW"/>
        </w:rPr>
        <w:t>，</w:t>
      </w:r>
      <w:r>
        <w:rPr>
          <w:rFonts w:ascii="宋体" w:hAnsi="宋体" w:cs="Times New Roman"/>
          <w:sz w:val="28"/>
          <w:szCs w:val="28"/>
          <w:highlight w:val="none"/>
        </w:rPr>
        <w:t>甲方有权解除本合同，要求乙方支付违约金10万元，并退还甲方已支付的所有费用。</w:t>
      </w:r>
    </w:p>
    <w:p w14:paraId="4934E0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A162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1E504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6A6F3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3A40FB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79B3414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052C70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981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31DCF2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4048EC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F4F66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1CA276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22BF3F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6FB28A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425D0F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6DF67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4CCBB0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215AB9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5F2E23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75F46B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14366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4A5845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5D514A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7FC602C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0B26AB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7539B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3EFDF8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7E0A88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6B3B5C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5E6C38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237279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61AD05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0A7CCC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7DAA12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43BF4A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工程本身的损害、因工程损害导致第三人人员伤亡和财产损失以及运至施工场地用于施工的材料和待安装的设备的损害，由乙方承担；</w:t>
      </w:r>
    </w:p>
    <w:p w14:paraId="018D3C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39569C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7AA816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5C3C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752A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0468F9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13CA49E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3201D3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24D12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09EB012E">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5460B5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051D0E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75006E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ED7C7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75508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61598B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01A8DB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3A697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788B8D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75C1658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79D8F3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5864D6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7CC85D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23AD17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41BA0E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062E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526E95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694AF1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560601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2244C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2F49BE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3016082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7A75DB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70A059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206595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18C7A8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573D83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22.8本合同正本 捌 份，双方各执 肆 份，具有同等法律效力。</w:t>
      </w:r>
    </w:p>
    <w:p w14:paraId="74E652E6">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7A7B6B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53B6E5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695B6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C6FA9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B830844">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p w14:paraId="708CAC03">
      <w:pPr>
        <w:spacing w:line="600" w:lineRule="exact"/>
        <w:rPr>
          <w:rFonts w:ascii="宋体" w:hAnsi="宋体" w:cs="Times New Roman"/>
          <w:sz w:val="28"/>
          <w:szCs w:val="28"/>
          <w:highlight w:val="none"/>
        </w:rPr>
      </w:pPr>
    </w:p>
    <w:p w14:paraId="36F45EF2">
      <w:pPr>
        <w:spacing w:line="600" w:lineRule="exact"/>
        <w:rPr>
          <w:rFonts w:ascii="宋体" w:hAnsi="宋体" w:cs="Times New Roman"/>
          <w:sz w:val="28"/>
          <w:szCs w:val="28"/>
          <w:highlight w:val="none"/>
        </w:rPr>
      </w:pPr>
      <w:r>
        <w:rPr>
          <w:rFonts w:ascii="宋体" w:hAnsi="宋体" w:cs="Times New Roman"/>
          <w:sz w:val="28"/>
          <w:szCs w:val="28"/>
          <w:highlight w:val="none"/>
        </w:rPr>
        <w:t>建设单位（甲方）：                   施工单位（乙方）：</w:t>
      </w:r>
    </w:p>
    <w:p w14:paraId="59CDF6E9">
      <w:pPr>
        <w:spacing w:line="600" w:lineRule="exact"/>
        <w:rPr>
          <w:rFonts w:ascii="宋体" w:hAnsi="宋体" w:cs="Times New Roman"/>
          <w:sz w:val="28"/>
          <w:szCs w:val="28"/>
          <w:highlight w:val="none"/>
        </w:rPr>
      </w:pPr>
      <w:r>
        <w:rPr>
          <w:rFonts w:ascii="宋体" w:hAnsi="宋体" w:cs="Times New Roman"/>
          <w:sz w:val="28"/>
          <w:szCs w:val="28"/>
          <w:highlight w:val="none"/>
        </w:rPr>
        <w:t>法定代表人（签字）：                 法定代表人（签字）：</w:t>
      </w:r>
    </w:p>
    <w:p w14:paraId="4D8ABF32">
      <w:pPr>
        <w:spacing w:line="600" w:lineRule="exact"/>
        <w:rPr>
          <w:rFonts w:ascii="宋体" w:hAnsi="宋体" w:cs="Times New Roman"/>
          <w:sz w:val="28"/>
          <w:szCs w:val="28"/>
          <w:highlight w:val="none"/>
        </w:rPr>
      </w:pPr>
      <w:r>
        <w:rPr>
          <w:rFonts w:hint="eastAsia" w:ascii="宋体" w:hAnsi="宋体" w:cs="Times New Roman"/>
          <w:sz w:val="28"/>
          <w:szCs w:val="28"/>
          <w:highlight w:val="none"/>
        </w:rPr>
        <w:t>或其</w:t>
      </w:r>
      <w:r>
        <w:rPr>
          <w:rFonts w:ascii="宋体" w:hAnsi="宋体" w:cs="Times New Roman"/>
          <w:sz w:val="28"/>
          <w:szCs w:val="28"/>
          <w:highlight w:val="none"/>
        </w:rPr>
        <w:t xml:space="preserve">委托代理人（签字）：             </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rPr>
        <w:t>或其</w:t>
      </w:r>
      <w:r>
        <w:rPr>
          <w:rFonts w:ascii="宋体" w:hAnsi="宋体" w:cs="Times New Roman"/>
          <w:sz w:val="28"/>
          <w:szCs w:val="28"/>
          <w:highlight w:val="none"/>
        </w:rPr>
        <w:t>委托代理人（签字）：</w:t>
      </w:r>
    </w:p>
    <w:p w14:paraId="0FF123BB">
      <w:pPr>
        <w:spacing w:line="600" w:lineRule="exact"/>
        <w:ind w:firstLine="560" w:firstLineChars="200"/>
        <w:rPr>
          <w:rFonts w:hint="eastAsia" w:ascii="宋体" w:hAnsi="宋体"/>
          <w:b/>
          <w:bCs/>
          <w:sz w:val="28"/>
          <w:szCs w:val="28"/>
          <w:highlight w:val="none"/>
        </w:rPr>
      </w:pPr>
      <w:r>
        <w:rPr>
          <w:rFonts w:ascii="宋体" w:hAnsi="宋体" w:cs="Times New Roman"/>
          <w:sz w:val="28"/>
          <w:szCs w:val="28"/>
          <w:highlight w:val="none"/>
        </w:rPr>
        <w:t>年    月    日                         年    月    日</w:t>
      </w:r>
    </w:p>
    <w:p w14:paraId="031A870A">
      <w:pPr>
        <w:rPr>
          <w:highlight w:val="none"/>
        </w:rPr>
      </w:pPr>
    </w:p>
    <w:p w14:paraId="7883F5F2">
      <w:pPr>
        <w:spacing w:line="600" w:lineRule="exact"/>
        <w:rPr>
          <w:rFonts w:hint="eastAsia" w:ascii="宋体" w:hAnsi="宋体" w:eastAsia="宋体" w:cs="宋体"/>
          <w:b/>
          <w:bCs/>
          <w:color w:val="auto"/>
          <w:sz w:val="28"/>
          <w:szCs w:val="28"/>
          <w:highlight w:val="none"/>
        </w:rPr>
      </w:pPr>
    </w:p>
    <w:p w14:paraId="0652173F">
      <w:pPr>
        <w:pStyle w:val="14"/>
        <w:rPr>
          <w:rFonts w:hint="eastAsia" w:ascii="宋体" w:hAnsi="宋体" w:eastAsia="宋体" w:cs="宋体"/>
          <w:b/>
          <w:bCs/>
          <w:color w:val="auto"/>
          <w:sz w:val="28"/>
          <w:szCs w:val="28"/>
          <w:highlight w:val="none"/>
        </w:rPr>
      </w:pPr>
    </w:p>
    <w:p w14:paraId="104627CF">
      <w:pPr>
        <w:rPr>
          <w:rFonts w:hint="eastAsia" w:ascii="宋体" w:hAnsi="宋体" w:eastAsia="宋体" w:cs="宋体"/>
          <w:b/>
          <w:bCs/>
          <w:color w:val="auto"/>
          <w:sz w:val="28"/>
          <w:szCs w:val="28"/>
          <w:highlight w:val="none"/>
        </w:rPr>
      </w:pPr>
    </w:p>
    <w:p w14:paraId="291D20D1">
      <w:pPr>
        <w:pStyle w:val="14"/>
        <w:rPr>
          <w:rFonts w:hint="eastAsia" w:ascii="宋体" w:hAnsi="宋体" w:eastAsia="宋体" w:cs="宋体"/>
          <w:b/>
          <w:bCs/>
          <w:color w:val="auto"/>
          <w:sz w:val="28"/>
          <w:szCs w:val="28"/>
          <w:highlight w:val="none"/>
        </w:rPr>
      </w:pPr>
    </w:p>
    <w:p w14:paraId="2943283E">
      <w:pPr>
        <w:rPr>
          <w:rFonts w:hint="eastAsia" w:ascii="宋体" w:hAnsi="宋体" w:eastAsia="宋体" w:cs="宋体"/>
          <w:b/>
          <w:bCs/>
          <w:color w:val="auto"/>
          <w:sz w:val="28"/>
          <w:szCs w:val="28"/>
          <w:highlight w:val="none"/>
        </w:rPr>
      </w:pPr>
    </w:p>
    <w:p w14:paraId="4F5AB193">
      <w:pPr>
        <w:pStyle w:val="14"/>
        <w:rPr>
          <w:rFonts w:hint="eastAsia" w:ascii="宋体" w:hAnsi="宋体" w:eastAsia="宋体" w:cs="宋体"/>
          <w:b/>
          <w:bCs/>
          <w:color w:val="auto"/>
          <w:sz w:val="28"/>
          <w:szCs w:val="28"/>
          <w:highlight w:val="none"/>
        </w:rPr>
      </w:pPr>
    </w:p>
    <w:p w14:paraId="43F15848">
      <w:pPr>
        <w:rPr>
          <w:rFonts w:hint="eastAsia"/>
        </w:rPr>
      </w:pPr>
    </w:p>
    <w:p w14:paraId="6A127985">
      <w:pPr>
        <w:rPr>
          <w:rFonts w:hint="eastAsia" w:ascii="宋体" w:hAnsi="宋体" w:eastAsia="宋体" w:cs="宋体"/>
          <w:b/>
          <w:bCs/>
          <w:color w:val="auto"/>
          <w:sz w:val="28"/>
          <w:szCs w:val="28"/>
          <w:highlight w:val="none"/>
        </w:rPr>
      </w:pPr>
    </w:p>
    <w:p w14:paraId="20488E8E">
      <w:pPr>
        <w:rPr>
          <w:rFonts w:hint="eastAsia" w:ascii="宋体" w:hAnsi="宋体" w:eastAsia="宋体" w:cs="宋体"/>
          <w:b/>
          <w:bCs/>
          <w:color w:val="auto"/>
          <w:sz w:val="28"/>
          <w:szCs w:val="28"/>
          <w:highlight w:val="none"/>
        </w:rPr>
      </w:pPr>
    </w:p>
    <w:p w14:paraId="00A21681">
      <w:pPr>
        <w:rPr>
          <w:rFonts w:hint="eastAsia" w:ascii="宋体" w:hAnsi="宋体" w:eastAsia="宋体" w:cs="宋体"/>
          <w:b/>
          <w:bCs/>
          <w:color w:val="auto"/>
          <w:sz w:val="28"/>
          <w:szCs w:val="28"/>
          <w:highlight w:val="none"/>
        </w:rPr>
      </w:pPr>
    </w:p>
    <w:p w14:paraId="4E15D48F">
      <w:pPr>
        <w:rPr>
          <w:rFonts w:hint="eastAsia" w:ascii="宋体" w:hAnsi="宋体" w:eastAsia="宋体" w:cs="宋体"/>
          <w:b/>
          <w:bCs/>
          <w:color w:val="auto"/>
          <w:sz w:val="28"/>
          <w:szCs w:val="28"/>
          <w:highlight w:val="none"/>
        </w:rPr>
      </w:pPr>
    </w:p>
    <w:p w14:paraId="7A44D038">
      <w:pPr>
        <w:rPr>
          <w:rFonts w:hint="eastAsia" w:ascii="宋体" w:hAnsi="宋体" w:eastAsia="宋体" w:cs="宋体"/>
          <w:b/>
          <w:bCs/>
          <w:color w:val="auto"/>
          <w:sz w:val="28"/>
          <w:szCs w:val="28"/>
          <w:highlight w:val="none"/>
        </w:rPr>
      </w:pPr>
    </w:p>
    <w:p w14:paraId="1E17F76F">
      <w:pPr>
        <w:rPr>
          <w:rFonts w:hint="eastAsia" w:ascii="宋体" w:hAnsi="宋体" w:eastAsia="宋体" w:cs="宋体"/>
          <w:b/>
          <w:bCs/>
          <w:color w:val="auto"/>
          <w:sz w:val="28"/>
          <w:szCs w:val="28"/>
          <w:highlight w:val="none"/>
        </w:rPr>
      </w:pPr>
    </w:p>
    <w:p w14:paraId="78751076">
      <w:pPr>
        <w:pStyle w:val="14"/>
        <w:rPr>
          <w:rFonts w:hint="eastAsia"/>
        </w:rPr>
      </w:pPr>
    </w:p>
    <w:p w14:paraId="274C7EAC">
      <w:pPr>
        <w:spacing w:line="60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附件1</w:t>
      </w:r>
    </w:p>
    <w:p w14:paraId="7122A100">
      <w:pPr>
        <w:topLinePunct/>
        <w:autoSpaceDE w:val="0"/>
        <w:snapToGrid w:val="0"/>
        <w:spacing w:line="600" w:lineRule="exact"/>
        <w:jc w:val="center"/>
        <w:rPr>
          <w:rStyle w:val="26"/>
          <w:rFonts w:hint="eastAsia" w:ascii="宋体" w:hAnsi="宋体" w:cs="宋体"/>
          <w:b/>
          <w:color w:val="auto"/>
          <w:szCs w:val="28"/>
          <w:highlight w:val="none"/>
          <w:lang w:val="en-US" w:eastAsia="zh-CN"/>
        </w:rPr>
      </w:pPr>
      <w:r>
        <w:rPr>
          <w:rStyle w:val="26"/>
          <w:rFonts w:hint="eastAsia" w:ascii="宋体" w:hAnsi="宋体" w:cs="宋体"/>
          <w:b/>
          <w:color w:val="auto"/>
          <w:szCs w:val="28"/>
          <w:highlight w:val="none"/>
          <w:lang w:val="en-US" w:eastAsia="zh-CN"/>
        </w:rPr>
        <w:t>绵九高速药丛山服务</w:t>
      </w:r>
      <w:r>
        <w:rPr>
          <w:rStyle w:val="26"/>
          <w:rFonts w:hint="default" w:ascii="宋体" w:hAnsi="宋体" w:cs="宋体"/>
          <w:b/>
          <w:color w:val="auto"/>
          <w:szCs w:val="28"/>
          <w:highlight w:val="none"/>
          <w:lang w:val="en-US" w:eastAsia="zh-CN"/>
        </w:rPr>
        <w:t>区</w:t>
      </w:r>
      <w:r>
        <w:rPr>
          <w:rStyle w:val="26"/>
          <w:rFonts w:hint="eastAsia" w:ascii="宋体" w:hAnsi="宋体" w:cs="宋体"/>
          <w:b/>
          <w:color w:val="auto"/>
          <w:szCs w:val="28"/>
          <w:highlight w:val="none"/>
          <w:lang w:val="en-US" w:eastAsia="zh-CN"/>
        </w:rPr>
        <w:t>充电站新建工程</w:t>
      </w:r>
    </w:p>
    <w:p w14:paraId="7C54E55B">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rPr>
        <w:t>质量保修协议书</w:t>
      </w:r>
    </w:p>
    <w:p w14:paraId="0DFBE9DC">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5AEA6841">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p>
    <w:p w14:paraId="33ABD9B1">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绵九高速药丛山服务</w:t>
      </w:r>
      <w:r>
        <w:rPr>
          <w:rFonts w:hint="default" w:ascii="宋体" w:hAnsi="宋体" w:eastAsia="宋体" w:cs="宋体"/>
          <w:color w:val="auto"/>
          <w:sz w:val="28"/>
          <w:szCs w:val="28"/>
          <w:highlight w:val="none"/>
          <w:u w:val="single"/>
          <w:lang w:val="en-US" w:eastAsia="zh-CN"/>
        </w:rPr>
        <w:t>区</w:t>
      </w:r>
      <w:r>
        <w:rPr>
          <w:rFonts w:hint="eastAsia" w:ascii="宋体" w:hAnsi="宋体" w:eastAsia="宋体" w:cs="宋体"/>
          <w:color w:val="auto"/>
          <w:sz w:val="28"/>
          <w:szCs w:val="28"/>
          <w:highlight w:val="none"/>
          <w:u w:val="single"/>
          <w:lang w:val="en-US" w:eastAsia="zh-CN"/>
        </w:rPr>
        <w:t>充电站新建工程</w:t>
      </w:r>
      <w:r>
        <w:rPr>
          <w:rFonts w:hint="eastAsia" w:ascii="宋体" w:hAnsi="宋体" w:eastAsia="宋体" w:cs="宋体"/>
          <w:color w:val="auto"/>
          <w:sz w:val="28"/>
          <w:szCs w:val="28"/>
          <w:highlight w:val="none"/>
        </w:rPr>
        <w:t>的质量保修事宜签订工程质量保修协议书。</w:t>
      </w:r>
    </w:p>
    <w:p w14:paraId="2181644F">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308A5B1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16BC747C">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22497DA2">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59E52A73">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C171850">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4400B6B2">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53FDF9F9">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804F983">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E5EDFA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347E3514">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6C58E711">
      <w:pPr>
        <w:pStyle w:val="9"/>
        <w:spacing w:line="600" w:lineRule="exact"/>
        <w:ind w:left="0" w:leftChars="0" w:firstLine="0" w:firstLineChars="0"/>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030007B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24CCE16A">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12C0927C">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0187E7C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1C993EC8">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202D214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247E1142">
      <w:pPr>
        <w:pStyle w:val="9"/>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0DD7F24E">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。在缺陷责任期满后，乙方向甲方申请到期应返还乙方的质量保证金金额，甲方应在14天内会同乙方按照合同约定的内容核实乙方是否完成缺陷责任。如无异议，甲方应当在核实后将剩余保证金无息返还乙方。</w:t>
      </w:r>
    </w:p>
    <w:p w14:paraId="38752EC4">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FDC5DFF">
      <w:pPr>
        <w:pStyle w:val="9"/>
        <w:spacing w:line="360" w:lineRule="auto"/>
        <w:ind w:left="0" w:leftChars="0" w:firstLine="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EC39C4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5C53258B">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540814D2">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绵九高速药丛山服务</w:t>
      </w:r>
      <w:r>
        <w:rPr>
          <w:rFonts w:hint="default" w:ascii="宋体" w:hAnsi="宋体" w:eastAsia="宋体" w:cs="宋体"/>
          <w:color w:val="auto"/>
          <w:sz w:val="28"/>
          <w:szCs w:val="28"/>
          <w:highlight w:val="none"/>
          <w:lang w:val="en-US" w:eastAsia="zh-CN"/>
        </w:rPr>
        <w:t>区</w:t>
      </w:r>
      <w:r>
        <w:rPr>
          <w:rFonts w:hint="eastAsia" w:ascii="宋体" w:hAnsi="宋体" w:eastAsia="宋体" w:cs="宋体"/>
          <w:color w:val="auto"/>
          <w:sz w:val="28"/>
          <w:szCs w:val="28"/>
          <w:highlight w:val="none"/>
          <w:lang w:val="en-US" w:eastAsia="zh-CN"/>
        </w:rPr>
        <w:t>充电站新建工程</w:t>
      </w:r>
      <w:r>
        <w:rPr>
          <w:rFonts w:hint="eastAsia" w:ascii="宋体" w:hAnsi="宋体" w:eastAsia="宋体" w:cs="宋体"/>
          <w:color w:val="auto"/>
          <w:sz w:val="28"/>
          <w:szCs w:val="28"/>
          <w:highlight w:val="none"/>
        </w:rPr>
        <w:t>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6A4DDDB">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甲方（公章）：                       乙方（公章）：</w:t>
      </w:r>
    </w:p>
    <w:p w14:paraId="431E66B1">
      <w:pPr>
        <w:pStyle w:val="9"/>
        <w:tabs>
          <w:tab w:val="left" w:pos="567"/>
        </w:tabs>
        <w:spacing w:line="240" w:lineRule="auto"/>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                 法定代表人（签字）：</w:t>
      </w:r>
    </w:p>
    <w:p w14:paraId="21B585F4">
      <w:pPr>
        <w:spacing w:line="240" w:lineRule="auto"/>
        <w:rPr>
          <w:rFonts w:hint="default"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 xml:space="preserve">委托代理人（签字）：             </w:t>
      </w:r>
      <w:r>
        <w:rPr>
          <w:rFonts w:hint="eastAsia" w:ascii="宋体" w:hAnsi="宋体" w:eastAsia="宋体" w:cs="Times New Roman"/>
          <w:color w:val="auto"/>
          <w:sz w:val="28"/>
          <w:szCs w:val="28"/>
          <w:highlight w:val="none"/>
          <w:lang w:val="en-US" w:eastAsia="zh-CN"/>
        </w:rPr>
        <w:t xml:space="preserve"> </w:t>
      </w:r>
      <w:r>
        <w:rPr>
          <w:rFonts w:hint="default"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委托代理人（签字）：</w:t>
      </w:r>
    </w:p>
    <w:p w14:paraId="02DD00E0">
      <w:pPr>
        <w:spacing w:line="60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年  月  日                       </w:t>
      </w:r>
      <w:r>
        <w:rPr>
          <w:rFonts w:ascii="宋体" w:hAnsi="宋体" w:cs="宋体"/>
          <w:color w:val="auto"/>
          <w:sz w:val="28"/>
          <w:szCs w:val="28"/>
          <w:highlight w:val="none"/>
        </w:rPr>
        <w:t xml:space="preserve">     </w:t>
      </w:r>
      <w:r>
        <w:rPr>
          <w:rFonts w:hint="eastAsia" w:ascii="宋体" w:hAnsi="宋体" w:cs="宋体"/>
          <w:color w:val="auto"/>
          <w:sz w:val="28"/>
          <w:szCs w:val="28"/>
          <w:highlight w:val="none"/>
        </w:rPr>
        <w:t>年  月  日</w:t>
      </w:r>
    </w:p>
    <w:p w14:paraId="68C98183">
      <w:pPr>
        <w:spacing w:line="600" w:lineRule="exact"/>
        <w:rPr>
          <w:rFonts w:hint="eastAsia" w:ascii="宋体" w:hAnsi="宋体" w:eastAsia="宋体" w:cs="宋体"/>
          <w:b/>
          <w:color w:val="auto"/>
          <w:sz w:val="28"/>
          <w:szCs w:val="28"/>
          <w:highlight w:val="none"/>
          <w:u w:val="none"/>
          <w:lang w:val="en-US" w:eastAsia="zh-CN"/>
        </w:rPr>
      </w:pPr>
    </w:p>
    <w:p w14:paraId="3C47301B">
      <w:pPr>
        <w:spacing w:line="600" w:lineRule="exact"/>
        <w:rPr>
          <w:rFonts w:hint="eastAsia" w:ascii="宋体" w:hAnsi="宋体" w:eastAsia="宋体" w:cs="宋体"/>
          <w:b/>
          <w:color w:val="auto"/>
          <w:sz w:val="28"/>
          <w:szCs w:val="28"/>
          <w:highlight w:val="none"/>
          <w:u w:val="none"/>
          <w:lang w:val="en-US" w:eastAsia="zh-CN"/>
        </w:rPr>
      </w:pPr>
    </w:p>
    <w:p w14:paraId="3E324E6B">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2930EEF3">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0989E732">
      <w:pPr>
        <w:snapToGrid w:val="0"/>
        <w:spacing w:line="360" w:lineRule="auto"/>
        <w:ind w:firstLine="482" w:firstLineChars="200"/>
        <w:rPr>
          <w:rFonts w:hint="eastAsia" w:ascii="宋体" w:hAnsi="宋体" w:cs="宋体"/>
          <w:b/>
          <w:sz w:val="24"/>
          <w:szCs w:val="24"/>
          <w:highlight w:val="none"/>
        </w:rPr>
      </w:pPr>
    </w:p>
    <w:p w14:paraId="3184943A">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33381889">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sz w:val="28"/>
          <w:szCs w:val="28"/>
          <w:highlight w:val="none"/>
          <w:u w:val="single"/>
        </w:rPr>
        <w:t xml:space="preserve">                               </w:t>
      </w:r>
    </w:p>
    <w:p w14:paraId="56C8B86B">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b w:val="0"/>
          <w:bCs w:val="0"/>
          <w:color w:val="000000"/>
          <w:kern w:val="0"/>
          <w:sz w:val="28"/>
          <w:szCs w:val="28"/>
          <w:highlight w:val="none"/>
          <w:u w:val="single"/>
          <w:lang w:val="en-US" w:eastAsia="zh-CN" w:bidi="ar-SA"/>
        </w:rPr>
        <w:t>绵九高速药丛山服务区充电站新建工程</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Style w:val="17"/>
          <w:rFonts w:hint="eastAsia" w:asciiTheme="minorEastAsia" w:hAnsiTheme="minorEastAsia" w:eastAsiaTheme="minorEastAsia" w:cstheme="minorEastAsia"/>
          <w:b w:val="0"/>
          <w:sz w:val="28"/>
          <w:szCs w:val="28"/>
          <w:highlight w:val="none"/>
          <w:lang w:val="en-US" w:eastAsia="zh-CN"/>
        </w:rPr>
        <w:t>绵九高速药丛山服务</w:t>
      </w:r>
      <w:r>
        <w:rPr>
          <w:rStyle w:val="17"/>
          <w:rFonts w:hint="default" w:asciiTheme="minorEastAsia" w:hAnsiTheme="minorEastAsia" w:eastAsiaTheme="minorEastAsia" w:cstheme="minorEastAsia"/>
          <w:b w:val="0"/>
          <w:sz w:val="28"/>
          <w:szCs w:val="28"/>
          <w:highlight w:val="none"/>
          <w:lang w:val="en-US" w:eastAsia="zh-CN"/>
        </w:rPr>
        <w:t>区</w:t>
      </w:r>
      <w:r>
        <w:rPr>
          <w:rStyle w:val="17"/>
          <w:rFonts w:hint="eastAsia" w:asciiTheme="minorEastAsia" w:hAnsiTheme="minorEastAsia" w:eastAsiaTheme="minorEastAsia" w:cstheme="minorEastAsia"/>
          <w:b w:val="0"/>
          <w:sz w:val="28"/>
          <w:szCs w:val="28"/>
          <w:highlight w:val="none"/>
          <w:lang w:val="en-US" w:eastAsia="zh-CN"/>
        </w:rPr>
        <w:t>充电站新建工程合同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478E5F1">
      <w:pPr>
        <w:spacing w:line="360" w:lineRule="auto"/>
        <w:ind w:firstLine="560" w:firstLineChars="200"/>
        <w:rPr>
          <w:rFonts w:hint="eastAsia" w:asciiTheme="minorEastAsia" w:hAnsiTheme="minorEastAsia" w:eastAsiaTheme="minorEastAsia" w:cstheme="minorEastAsia"/>
          <w:sz w:val="28"/>
          <w:szCs w:val="28"/>
          <w:highlight w:val="none"/>
        </w:rPr>
      </w:pPr>
      <w:bookmarkStart w:id="5" w:name="_Toc239510289"/>
      <w:bookmarkStart w:id="6" w:name="_Toc247431423"/>
      <w:bookmarkStart w:id="7" w:name="_Toc532375700"/>
      <w:bookmarkStart w:id="8" w:name="_Toc247418263"/>
      <w:r>
        <w:rPr>
          <w:rFonts w:hint="eastAsia" w:asciiTheme="minorEastAsia" w:hAnsiTheme="minorEastAsia" w:eastAsiaTheme="minorEastAsia" w:cstheme="minorEastAsia"/>
          <w:sz w:val="28"/>
          <w:szCs w:val="28"/>
          <w:highlight w:val="none"/>
        </w:rPr>
        <w:t>一、协议有效期限</w:t>
      </w:r>
      <w:bookmarkEnd w:id="5"/>
      <w:bookmarkEnd w:id="6"/>
      <w:bookmarkEnd w:id="7"/>
      <w:bookmarkEnd w:id="8"/>
    </w:p>
    <w:p w14:paraId="178EAB2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380BF097">
      <w:pPr>
        <w:spacing w:line="360" w:lineRule="auto"/>
        <w:ind w:firstLine="560" w:firstLineChars="200"/>
        <w:rPr>
          <w:rFonts w:hint="eastAsia" w:asciiTheme="minorEastAsia" w:hAnsiTheme="minorEastAsia" w:eastAsiaTheme="minorEastAsia" w:cstheme="minorEastAsia"/>
          <w:sz w:val="28"/>
          <w:szCs w:val="28"/>
          <w:highlight w:val="none"/>
        </w:rPr>
      </w:pPr>
      <w:bookmarkStart w:id="9" w:name="_Toc239510290"/>
      <w:bookmarkStart w:id="10" w:name="_Toc247431424"/>
      <w:bookmarkStart w:id="11" w:name="_Toc247418264"/>
      <w:bookmarkStart w:id="12" w:name="_Toc532375701"/>
      <w:r>
        <w:rPr>
          <w:rFonts w:hint="eastAsia" w:asciiTheme="minorEastAsia" w:hAnsiTheme="minorEastAsia" w:eastAsiaTheme="minorEastAsia" w:cstheme="minorEastAsia"/>
          <w:sz w:val="28"/>
          <w:szCs w:val="28"/>
          <w:highlight w:val="none"/>
        </w:rPr>
        <w:t>二、责任目标</w:t>
      </w:r>
      <w:bookmarkEnd w:id="9"/>
      <w:bookmarkEnd w:id="10"/>
      <w:bookmarkEnd w:id="11"/>
      <w:bookmarkEnd w:id="12"/>
    </w:p>
    <w:p w14:paraId="568663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（一）承包人承诺承担和履行合同和发包人所规定的安全责任，且满足要求。</w:t>
      </w:r>
    </w:p>
    <w:p w14:paraId="3634B1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2E708D0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083CFF3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893E23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1C67BFC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416C686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1FA8682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293C6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3F788398">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3B9A01F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E1ABC65">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13" w:name="_Toc247431425"/>
      <w:bookmarkStart w:id="14" w:name="_Toc247418265"/>
      <w:bookmarkStart w:id="15" w:name="_Toc239510291"/>
      <w:r>
        <w:rPr>
          <w:rFonts w:hint="eastAsia" w:asciiTheme="minorEastAsia" w:hAnsiTheme="minorEastAsia" w:eastAsiaTheme="minorEastAsia" w:cstheme="minorEastAsia"/>
          <w:sz w:val="28"/>
          <w:szCs w:val="28"/>
          <w:highlight w:val="none"/>
        </w:rPr>
        <w:t>（三）承包人承诺在施工中控制以下安全事故的发生：</w:t>
      </w:r>
      <w:bookmarkEnd w:id="13"/>
      <w:bookmarkEnd w:id="14"/>
      <w:bookmarkEnd w:id="15"/>
    </w:p>
    <w:p w14:paraId="672378B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45A18581">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7471F91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B361434">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16" w:name="_Toc247431426"/>
      <w:bookmarkStart w:id="17" w:name="_Toc532375702"/>
      <w:bookmarkStart w:id="18" w:name="_Toc239510292"/>
      <w:bookmarkStart w:id="19" w:name="_Toc247418266"/>
      <w:r>
        <w:rPr>
          <w:rFonts w:hint="eastAsia" w:asciiTheme="minorEastAsia" w:hAnsiTheme="minorEastAsia" w:eastAsiaTheme="minorEastAsia" w:cstheme="minorEastAsia"/>
          <w:sz w:val="28"/>
          <w:szCs w:val="28"/>
          <w:highlight w:val="none"/>
        </w:rPr>
        <w:t>三、安全责任</w:t>
      </w:r>
      <w:bookmarkEnd w:id="16"/>
      <w:bookmarkEnd w:id="17"/>
      <w:bookmarkEnd w:id="18"/>
      <w:bookmarkEnd w:id="19"/>
    </w:p>
    <w:p w14:paraId="7892E07A">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 xml:space="preserve">1.承包人应严格遵守国家法律、法规、国务院部门规章。严格执行国家标准、行业标准中的有关部分。包括但不限于以下有关文件要求： </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9448》《手持式电动工具的管理、使用、检查和维修安全技术规程 GB/T 3787》 《建筑</w:t>
      </w:r>
      <w:r>
        <w:rPr>
          <w:rFonts w:hint="eastAsia" w:asciiTheme="minorEastAsia" w:hAnsiTheme="minorEastAsia" w:eastAsiaTheme="minorEastAsia" w:cstheme="minorEastAsia"/>
          <w:sz w:val="28"/>
          <w:szCs w:val="28"/>
          <w:highlight w:val="none"/>
          <w:lang w:val="en-US" w:eastAsia="zh-CN"/>
        </w:rPr>
        <w:t>与市政工程施工现场临时用电安全技术标准</w:t>
      </w:r>
      <w:r>
        <w:rPr>
          <w:rFonts w:hint="eastAsia" w:asciiTheme="minorEastAsia" w:hAnsiTheme="minorEastAsia" w:eastAsiaTheme="minorEastAsia" w:cstheme="minorEastAsia"/>
          <w:sz w:val="28"/>
          <w:szCs w:val="28"/>
          <w:highlight w:val="none"/>
        </w:rPr>
        <w:t>JGJ</w:t>
      </w:r>
      <w:r>
        <w:rPr>
          <w:rFonts w:hint="eastAsia" w:asciiTheme="minorEastAsia" w:hAnsiTheme="minorEastAsia" w:eastAsiaTheme="minorEastAsia" w:cstheme="minorEastAsia"/>
          <w:sz w:val="28"/>
          <w:szCs w:val="28"/>
          <w:highlight w:val="none"/>
          <w:lang w:val="en-US" w:eastAsia="zh-CN"/>
        </w:rPr>
        <w:t>/T</w:t>
      </w:r>
      <w:r>
        <w:rPr>
          <w:rFonts w:hint="eastAsia" w:asciiTheme="minorEastAsia" w:hAnsiTheme="minorEastAsia" w:eastAsiaTheme="minorEastAsia" w:cstheme="minorEastAsia"/>
          <w:sz w:val="28"/>
          <w:szCs w:val="28"/>
          <w:highlight w:val="none"/>
        </w:rPr>
        <w:t>46</w:t>
      </w:r>
      <w:r>
        <w:rPr>
          <w:rFonts w:hint="eastAsia" w:asciiTheme="minorEastAsia" w:hAnsiTheme="minorEastAsia" w:eastAsiaTheme="minorEastAsia" w:cstheme="minorEastAsia"/>
          <w:sz w:val="28"/>
          <w:szCs w:val="28"/>
          <w:highlight w:val="none"/>
          <w:lang w:val="en-US" w:eastAsia="zh-CN"/>
        </w:rPr>
        <w:t>-2024》《建筑施工</w:t>
      </w:r>
      <w:r>
        <w:rPr>
          <w:rFonts w:hint="eastAsia" w:asciiTheme="minorEastAsia" w:hAnsiTheme="minorEastAsia" w:eastAsiaTheme="minorEastAsia" w:cstheme="minorEastAsia"/>
          <w:sz w:val="28"/>
          <w:szCs w:val="28"/>
          <w:highlight w:val="none"/>
        </w:rPr>
        <w:t>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5009.3》《电</w:t>
      </w:r>
      <w:r>
        <w:rPr>
          <w:rFonts w:hint="eastAsia" w:asciiTheme="minorEastAsia" w:hAnsiTheme="minorEastAsia" w:eastAsiaTheme="minorEastAsia" w:cstheme="minorEastAsia"/>
          <w:sz w:val="28"/>
          <w:szCs w:val="28"/>
          <w:highlight w:val="none"/>
          <w:lang w:val="en-US" w:eastAsia="zh-CN"/>
        </w:rPr>
        <w:t>力</w:t>
      </w:r>
      <w:r>
        <w:rPr>
          <w:rFonts w:hint="eastAsia" w:asciiTheme="minorEastAsia" w:hAnsiTheme="minorEastAsia" w:eastAsiaTheme="minorEastAsia" w:cstheme="minorEastAsia"/>
          <w:sz w:val="28"/>
          <w:szCs w:val="28"/>
          <w:highlight w:val="none"/>
        </w:rPr>
        <w:t>安全工作规程DL</w:t>
      </w:r>
      <w:r>
        <w:rPr>
          <w:rFonts w:hint="eastAsia" w:asciiTheme="minorEastAsia" w:hAnsiTheme="minorEastAsia" w:eastAsiaTheme="minorEastAsia" w:cstheme="minorEastAsia"/>
          <w:sz w:val="28"/>
          <w:szCs w:val="28"/>
          <w:highlight w:val="none"/>
          <w:lang w:val="en-US" w:eastAsia="zh-CN"/>
        </w:rPr>
        <w:t>/T</w:t>
      </w:r>
      <w:r>
        <w:rPr>
          <w:rFonts w:hint="eastAsia" w:asciiTheme="minorEastAsia" w:hAnsiTheme="minorEastAsia" w:eastAsiaTheme="minorEastAsia" w:cstheme="minorEastAsia"/>
          <w:sz w:val="28"/>
          <w:szCs w:val="28"/>
          <w:highlight w:val="none"/>
        </w:rPr>
        <w:t xml:space="preserve"> 408》</w:t>
      </w:r>
      <w:r>
        <w:rPr>
          <w:rFonts w:hint="eastAsia" w:asciiTheme="minorEastAsia" w:hAnsiTheme="minorEastAsia" w:eastAsiaTheme="minorEastAsia" w:cstheme="minorEastAsia"/>
          <w:sz w:val="28"/>
          <w:szCs w:val="28"/>
          <w:highlight w:val="none"/>
          <w:lang w:eastAsia="zh-CN"/>
        </w:rPr>
        <w:t>。</w:t>
      </w:r>
    </w:p>
    <w:p w14:paraId="5B9A2A77">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承包人负有安全生产的管理责任和直接责任。</w:t>
      </w:r>
    </w:p>
    <w:p w14:paraId="6455EDB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承包人的法人或签署合同的公司总经理或受委托的代理人对合同安全负有全面的领导责任。</w:t>
      </w:r>
    </w:p>
    <w:p w14:paraId="57AB2F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17CA795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3F68AF3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FB6FAC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522878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7E06796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44C9D222">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1C28BB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4FED4758">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03A206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7E35581">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20" w:name="_Toc247431427"/>
      <w:bookmarkStart w:id="21" w:name="_Toc239510293"/>
      <w:bookmarkStart w:id="22" w:name="_Toc247418267"/>
      <w:bookmarkStart w:id="23" w:name="_Toc532375703"/>
      <w:r>
        <w:rPr>
          <w:rFonts w:hint="eastAsia" w:asciiTheme="minorEastAsia" w:hAnsiTheme="minorEastAsia" w:eastAsiaTheme="minorEastAsia" w:cstheme="minorEastAsia"/>
          <w:sz w:val="28"/>
          <w:szCs w:val="28"/>
          <w:highlight w:val="none"/>
        </w:rPr>
        <w:t>四、接口及协调</w:t>
      </w:r>
      <w:bookmarkEnd w:id="20"/>
      <w:bookmarkEnd w:id="21"/>
      <w:bookmarkEnd w:id="22"/>
      <w:bookmarkEnd w:id="23"/>
    </w:p>
    <w:p w14:paraId="59E2D41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57579C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5CEB07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77B29C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631F3A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40C4CD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01904E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44274DA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426E7EF0">
      <w:pPr>
        <w:spacing w:line="360" w:lineRule="auto"/>
        <w:ind w:firstLine="560" w:firstLineChars="200"/>
        <w:rPr>
          <w:rFonts w:hint="eastAsia" w:asciiTheme="minorEastAsia" w:hAnsiTheme="minorEastAsia" w:eastAsiaTheme="minorEastAsia" w:cstheme="minorEastAsia"/>
          <w:sz w:val="28"/>
          <w:szCs w:val="28"/>
          <w:highlight w:val="none"/>
        </w:rPr>
      </w:pPr>
      <w:bookmarkStart w:id="24" w:name="_Toc247418268"/>
      <w:bookmarkStart w:id="25" w:name="_Toc247431428"/>
      <w:bookmarkStart w:id="26" w:name="_Toc239510294"/>
      <w:bookmarkStart w:id="27" w:name="_Toc532375704"/>
      <w:r>
        <w:rPr>
          <w:rFonts w:hint="eastAsia" w:asciiTheme="minorEastAsia" w:hAnsiTheme="minorEastAsia" w:eastAsiaTheme="minorEastAsia" w:cstheme="minorEastAsia"/>
          <w:sz w:val="28"/>
          <w:szCs w:val="28"/>
          <w:highlight w:val="none"/>
        </w:rPr>
        <w:t>五、安全资质审查</w:t>
      </w:r>
      <w:bookmarkEnd w:id="24"/>
      <w:bookmarkEnd w:id="25"/>
      <w:bookmarkEnd w:id="26"/>
      <w:bookmarkEnd w:id="27"/>
    </w:p>
    <w:p w14:paraId="45D11B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7DF167E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71F82CB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0859DB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73E71D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05B4B47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2AFBB5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09952F6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5F4F121D">
      <w:pPr>
        <w:spacing w:line="360" w:lineRule="auto"/>
        <w:ind w:firstLine="560" w:firstLineChars="200"/>
        <w:rPr>
          <w:rFonts w:hint="eastAsia" w:asciiTheme="minorEastAsia" w:hAnsiTheme="minorEastAsia" w:eastAsiaTheme="minorEastAsia" w:cstheme="minorEastAsia"/>
          <w:sz w:val="28"/>
          <w:szCs w:val="28"/>
          <w:highlight w:val="none"/>
        </w:rPr>
      </w:pPr>
      <w:bookmarkStart w:id="28" w:name="_Toc532375705"/>
      <w:bookmarkStart w:id="29" w:name="_Toc239510295"/>
      <w:bookmarkStart w:id="30" w:name="_Toc247418269"/>
      <w:bookmarkStart w:id="31" w:name="_Toc247431429"/>
      <w:r>
        <w:rPr>
          <w:rFonts w:hint="eastAsia" w:asciiTheme="minorEastAsia" w:hAnsiTheme="minorEastAsia" w:eastAsiaTheme="minorEastAsia" w:cstheme="minorEastAsia"/>
          <w:sz w:val="28"/>
          <w:szCs w:val="28"/>
          <w:highlight w:val="none"/>
        </w:rPr>
        <w:t>六、人员基本素质</w:t>
      </w:r>
      <w:bookmarkEnd w:id="28"/>
      <w:bookmarkEnd w:id="29"/>
      <w:bookmarkEnd w:id="30"/>
      <w:bookmarkEnd w:id="31"/>
    </w:p>
    <w:p w14:paraId="65C107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1FF7A1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310701D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0F0ECE0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1C934674">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bookmarkStart w:id="32" w:name="_Toc247431430"/>
      <w:bookmarkStart w:id="33" w:name="_Toc532375706"/>
      <w:bookmarkStart w:id="34" w:name="_Toc239510296"/>
      <w:bookmarkStart w:id="35" w:name="_Toc247418270"/>
      <w:r>
        <w:rPr>
          <w:rFonts w:hint="eastAsia" w:asciiTheme="minorEastAsia" w:hAnsiTheme="minorEastAsia" w:eastAsiaTheme="minorEastAsia" w:cstheme="minorEastAsia"/>
          <w:sz w:val="28"/>
          <w:szCs w:val="28"/>
          <w:highlight w:val="none"/>
        </w:rPr>
        <w:t>七、劳动保护</w:t>
      </w:r>
      <w:bookmarkEnd w:id="32"/>
      <w:bookmarkEnd w:id="33"/>
      <w:bookmarkEnd w:id="34"/>
      <w:bookmarkEnd w:id="35"/>
      <w:r>
        <w:rPr>
          <w:rFonts w:hint="eastAsia" w:asciiTheme="minorEastAsia" w:hAnsiTheme="minorEastAsia" w:eastAsiaTheme="minorEastAsia" w:cstheme="minorEastAsia"/>
          <w:sz w:val="28"/>
          <w:szCs w:val="28"/>
          <w:highlight w:val="none"/>
          <w:lang w:val="en-US" w:eastAsia="zh-CN"/>
        </w:rPr>
        <w:t>用品</w:t>
      </w:r>
    </w:p>
    <w:p w14:paraId="1D2E7C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32F53B1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74AEBE4">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48100A8A">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37B1C76B">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292C49B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5B26122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08B14220">
      <w:pPr>
        <w:spacing w:line="360" w:lineRule="auto"/>
        <w:ind w:firstLine="560" w:firstLineChars="200"/>
        <w:rPr>
          <w:rFonts w:hint="eastAsia" w:asciiTheme="minorEastAsia" w:hAnsiTheme="minorEastAsia" w:eastAsiaTheme="minorEastAsia" w:cstheme="minorEastAsia"/>
          <w:sz w:val="28"/>
          <w:szCs w:val="28"/>
          <w:highlight w:val="none"/>
        </w:rPr>
      </w:pPr>
      <w:bookmarkStart w:id="36" w:name="_Toc532375707"/>
      <w:bookmarkStart w:id="37" w:name="_Toc239510297"/>
      <w:bookmarkStart w:id="38" w:name="_Toc247418271"/>
      <w:bookmarkStart w:id="39" w:name="_Toc247431431"/>
      <w:r>
        <w:rPr>
          <w:rFonts w:hint="eastAsia" w:asciiTheme="minorEastAsia" w:hAnsiTheme="minorEastAsia" w:eastAsiaTheme="minorEastAsia" w:cstheme="minorEastAsia"/>
          <w:sz w:val="28"/>
          <w:szCs w:val="28"/>
          <w:highlight w:val="none"/>
        </w:rPr>
        <w:t>八、施工机具与材料</w:t>
      </w:r>
      <w:bookmarkEnd w:id="36"/>
      <w:bookmarkEnd w:id="37"/>
      <w:bookmarkEnd w:id="38"/>
      <w:bookmarkEnd w:id="39"/>
    </w:p>
    <w:p w14:paraId="2B9C46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2A4793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6BE2C0D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10FDDB5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64DAD02">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58CD424F">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4F24C18D">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3D26670D">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2D335536">
      <w:pPr>
        <w:spacing w:line="360" w:lineRule="auto"/>
        <w:ind w:firstLine="560" w:firstLineChars="200"/>
        <w:rPr>
          <w:rFonts w:hint="eastAsia" w:asciiTheme="minorEastAsia" w:hAnsiTheme="minorEastAsia" w:eastAsiaTheme="minorEastAsia" w:cstheme="minorEastAsia"/>
          <w:sz w:val="28"/>
          <w:szCs w:val="28"/>
          <w:highlight w:val="none"/>
        </w:rPr>
      </w:pPr>
      <w:bookmarkStart w:id="40" w:name="_Toc532375708"/>
      <w:bookmarkStart w:id="41" w:name="_Toc239510298"/>
      <w:bookmarkStart w:id="42" w:name="_Toc247431432"/>
      <w:bookmarkStart w:id="43" w:name="_Toc247418272"/>
      <w:r>
        <w:rPr>
          <w:rFonts w:hint="eastAsia" w:asciiTheme="minorEastAsia" w:hAnsiTheme="minorEastAsia" w:eastAsiaTheme="minorEastAsia" w:cstheme="minorEastAsia"/>
          <w:sz w:val="28"/>
          <w:szCs w:val="28"/>
          <w:highlight w:val="none"/>
        </w:rPr>
        <w:t>九、开工前安全条件检查</w:t>
      </w:r>
      <w:bookmarkEnd w:id="40"/>
      <w:bookmarkEnd w:id="41"/>
      <w:bookmarkEnd w:id="42"/>
      <w:bookmarkEnd w:id="43"/>
    </w:p>
    <w:p w14:paraId="5EEE117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696D0FE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1A521EB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3DAAEA26">
      <w:pPr>
        <w:spacing w:line="360" w:lineRule="auto"/>
        <w:ind w:firstLine="560" w:firstLineChars="200"/>
        <w:rPr>
          <w:rFonts w:hint="eastAsia" w:asciiTheme="minorEastAsia" w:hAnsiTheme="minorEastAsia" w:eastAsiaTheme="minorEastAsia" w:cstheme="minorEastAsia"/>
          <w:sz w:val="28"/>
          <w:szCs w:val="28"/>
          <w:highlight w:val="none"/>
        </w:rPr>
      </w:pPr>
      <w:bookmarkStart w:id="44" w:name="_Toc247431433"/>
      <w:bookmarkStart w:id="45" w:name="_Toc247418273"/>
      <w:bookmarkStart w:id="46" w:name="_Toc239510299"/>
      <w:bookmarkStart w:id="47" w:name="_Toc532375709"/>
      <w:r>
        <w:rPr>
          <w:rFonts w:hint="eastAsia" w:asciiTheme="minorEastAsia" w:hAnsiTheme="minorEastAsia" w:eastAsiaTheme="minorEastAsia" w:cstheme="minorEastAsia"/>
          <w:sz w:val="28"/>
          <w:szCs w:val="28"/>
          <w:highlight w:val="none"/>
        </w:rPr>
        <w:t>十、安全监督</w:t>
      </w:r>
      <w:bookmarkEnd w:id="44"/>
      <w:bookmarkEnd w:id="45"/>
      <w:bookmarkEnd w:id="46"/>
      <w:bookmarkEnd w:id="47"/>
    </w:p>
    <w:p w14:paraId="126A46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2DBA62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550A5D9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9011C4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4C6E9B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5C4DC28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529D92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41A8BA41">
      <w:pPr>
        <w:spacing w:line="360" w:lineRule="auto"/>
        <w:ind w:firstLine="560" w:firstLineChars="200"/>
        <w:rPr>
          <w:rFonts w:hint="eastAsia" w:asciiTheme="minorEastAsia" w:hAnsiTheme="minorEastAsia" w:eastAsiaTheme="minorEastAsia" w:cstheme="minorEastAsia"/>
          <w:sz w:val="28"/>
          <w:szCs w:val="28"/>
          <w:highlight w:val="none"/>
        </w:rPr>
      </w:pPr>
      <w:bookmarkStart w:id="48" w:name="_Toc239510300"/>
      <w:bookmarkStart w:id="49" w:name="_Toc247431434"/>
      <w:bookmarkStart w:id="50" w:name="_Toc247418274"/>
      <w:bookmarkStart w:id="51" w:name="_Toc532375710"/>
      <w:r>
        <w:rPr>
          <w:rFonts w:hint="eastAsia" w:asciiTheme="minorEastAsia" w:hAnsiTheme="minorEastAsia" w:eastAsiaTheme="minorEastAsia" w:cstheme="minorEastAsia"/>
          <w:sz w:val="28"/>
          <w:szCs w:val="28"/>
          <w:highlight w:val="none"/>
        </w:rPr>
        <w:t>十一、安全培训与授权</w:t>
      </w:r>
      <w:bookmarkEnd w:id="48"/>
      <w:bookmarkEnd w:id="49"/>
      <w:bookmarkEnd w:id="50"/>
      <w:bookmarkEnd w:id="51"/>
    </w:p>
    <w:p w14:paraId="6229FE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631B3A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41CA3DC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7FC76359">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5665F611">
      <w:pPr>
        <w:spacing w:line="360" w:lineRule="auto"/>
        <w:ind w:firstLine="560" w:firstLineChars="200"/>
        <w:rPr>
          <w:rFonts w:hint="eastAsia" w:asciiTheme="minorEastAsia" w:hAnsiTheme="minorEastAsia" w:eastAsiaTheme="minorEastAsia" w:cstheme="minorEastAsia"/>
          <w:sz w:val="28"/>
          <w:szCs w:val="28"/>
          <w:highlight w:val="none"/>
        </w:rPr>
      </w:pPr>
      <w:bookmarkStart w:id="52" w:name="_Toc247418275"/>
      <w:bookmarkStart w:id="53" w:name="_Toc239510301"/>
      <w:bookmarkStart w:id="54" w:name="_Toc247431435"/>
      <w:bookmarkStart w:id="55" w:name="_Toc532375711"/>
      <w:r>
        <w:rPr>
          <w:rFonts w:hint="eastAsia" w:asciiTheme="minorEastAsia" w:hAnsiTheme="minorEastAsia" w:eastAsiaTheme="minorEastAsia" w:cstheme="minorEastAsia"/>
          <w:sz w:val="28"/>
          <w:szCs w:val="28"/>
          <w:highlight w:val="none"/>
        </w:rPr>
        <w:t>十二、职业健康与卫生防疫</w:t>
      </w:r>
      <w:bookmarkEnd w:id="52"/>
      <w:bookmarkEnd w:id="53"/>
      <w:bookmarkEnd w:id="54"/>
      <w:bookmarkEnd w:id="55"/>
    </w:p>
    <w:p w14:paraId="08FA61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A35A4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78A51D1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6CA7E908">
      <w:pPr>
        <w:spacing w:line="360" w:lineRule="auto"/>
        <w:ind w:firstLine="560" w:firstLineChars="200"/>
        <w:rPr>
          <w:rFonts w:hint="eastAsia" w:asciiTheme="minorEastAsia" w:hAnsiTheme="minorEastAsia" w:eastAsiaTheme="minorEastAsia" w:cstheme="minorEastAsia"/>
          <w:sz w:val="28"/>
          <w:szCs w:val="28"/>
          <w:highlight w:val="none"/>
        </w:rPr>
      </w:pPr>
      <w:bookmarkStart w:id="56" w:name="_Toc247418276"/>
      <w:bookmarkStart w:id="57" w:name="_Toc247431436"/>
      <w:bookmarkStart w:id="58" w:name="_Toc532375712"/>
      <w:bookmarkStart w:id="59" w:name="_Toc239510302"/>
      <w:r>
        <w:rPr>
          <w:rFonts w:hint="eastAsia" w:asciiTheme="minorEastAsia" w:hAnsiTheme="minorEastAsia" w:eastAsiaTheme="minorEastAsia" w:cstheme="minorEastAsia"/>
          <w:sz w:val="28"/>
          <w:szCs w:val="28"/>
          <w:highlight w:val="none"/>
        </w:rPr>
        <w:t>十三、文明施工与环保要求</w:t>
      </w:r>
      <w:bookmarkEnd w:id="56"/>
      <w:bookmarkEnd w:id="57"/>
      <w:bookmarkEnd w:id="58"/>
      <w:bookmarkEnd w:id="59"/>
    </w:p>
    <w:p w14:paraId="5B54684E">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建设工程安全文明施工管理暂行规定》文件要求和遵守发包人和场地方关于安全环保、文明施工等内容的各项制度和要求，做好安全文明施工和环境保护工作，。并定期进行安全、环保、文明施工检查，及时整改问题和隐患。</w:t>
      </w:r>
    </w:p>
    <w:p w14:paraId="4795897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2A4630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70DA0A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005AE25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892992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18296E3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0559CF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FE93C1F">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AD43DE5">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6420E26F">
      <w:pPr>
        <w:spacing w:line="360" w:lineRule="auto"/>
        <w:ind w:firstLine="560" w:firstLineChars="200"/>
        <w:rPr>
          <w:rFonts w:hint="eastAsia" w:asciiTheme="minorEastAsia" w:hAnsiTheme="minorEastAsia" w:eastAsiaTheme="minorEastAsia" w:cstheme="minorEastAsia"/>
          <w:sz w:val="28"/>
          <w:szCs w:val="28"/>
          <w:highlight w:val="none"/>
        </w:rPr>
      </w:pPr>
      <w:bookmarkStart w:id="60" w:name="_Toc247418277"/>
      <w:bookmarkStart w:id="61" w:name="_Toc532375713"/>
      <w:bookmarkStart w:id="62" w:name="_Toc247431437"/>
      <w:bookmarkStart w:id="63" w:name="_Toc239510303"/>
      <w:r>
        <w:rPr>
          <w:rFonts w:hint="eastAsia" w:asciiTheme="minorEastAsia" w:hAnsiTheme="minorEastAsia" w:eastAsiaTheme="minorEastAsia" w:cstheme="minorEastAsia"/>
          <w:sz w:val="28"/>
          <w:szCs w:val="28"/>
          <w:highlight w:val="none"/>
        </w:rPr>
        <w:t>十四、工程风险管理与事故预防</w:t>
      </w:r>
      <w:bookmarkEnd w:id="60"/>
      <w:bookmarkEnd w:id="61"/>
      <w:bookmarkEnd w:id="62"/>
      <w:bookmarkEnd w:id="63"/>
    </w:p>
    <w:p w14:paraId="44DC249E">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4" w:name="_Toc239510304"/>
      <w:bookmarkStart w:id="65" w:name="_Toc247431438"/>
      <w:bookmarkStart w:id="66" w:name="_Toc247418278"/>
      <w:r>
        <w:rPr>
          <w:rFonts w:hint="eastAsia" w:asciiTheme="minorEastAsia" w:hAnsiTheme="minorEastAsia" w:eastAsiaTheme="minorEastAsia" w:cstheme="minorEastAsia"/>
          <w:sz w:val="28"/>
          <w:szCs w:val="28"/>
          <w:highlight w:val="none"/>
        </w:rPr>
        <w:t>（一）基本要求</w:t>
      </w:r>
      <w:bookmarkEnd w:id="64"/>
      <w:bookmarkEnd w:id="65"/>
      <w:bookmarkEnd w:id="66"/>
    </w:p>
    <w:p w14:paraId="1A721FEA">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7" w:name="_Toc532375714"/>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bookmarkEnd w:id="67"/>
    </w:p>
    <w:p w14:paraId="6BF7B1B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235D02F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6B964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46DEC2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4D8922E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0C5EB5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16BF42D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3CA7BA6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42F59F5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C13931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66FE37CD">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68" w:name="_Toc247431439"/>
      <w:bookmarkStart w:id="69" w:name="_Toc247418279"/>
      <w:bookmarkStart w:id="70" w:name="_Toc239510305"/>
      <w:r>
        <w:rPr>
          <w:rFonts w:hint="eastAsia" w:asciiTheme="minorEastAsia" w:hAnsiTheme="minorEastAsia" w:eastAsiaTheme="minorEastAsia" w:cstheme="minorEastAsia"/>
          <w:sz w:val="28"/>
          <w:szCs w:val="28"/>
          <w:highlight w:val="none"/>
        </w:rPr>
        <w:t>（二）现场作业基本安全条件</w:t>
      </w:r>
      <w:bookmarkEnd w:id="68"/>
      <w:bookmarkEnd w:id="69"/>
      <w:bookmarkEnd w:id="70"/>
    </w:p>
    <w:p w14:paraId="1ABDC36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3835A7D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6DD1BA9A">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323E897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移动式配电箱、开关箱前方预留不少于1米的空间，不得堆放任何妨碍操作、维修的物品，不得有灌木、杂草。</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0F3A943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37B5B327">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7085285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6FCF14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6231A8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00C045EF">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1" w:name="_Toc532375715"/>
      <w:bookmarkStart w:id="72" w:name="_Toc247431440"/>
      <w:bookmarkStart w:id="73" w:name="_Toc239510306"/>
      <w:bookmarkStart w:id="74" w:name="_Toc247418280"/>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bookmarkEnd w:id="71"/>
      <w:bookmarkEnd w:id="72"/>
      <w:bookmarkEnd w:id="73"/>
      <w:bookmarkEnd w:id="74"/>
    </w:p>
    <w:p w14:paraId="4DE032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081D63E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040FE3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75FF2BB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3F6E9FC4">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39BE936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7127B04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24D8A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或垫付（非承包人责任）</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444756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7E29C414">
      <w:pPr>
        <w:spacing w:line="360" w:lineRule="auto"/>
        <w:ind w:firstLine="560" w:firstLineChars="200"/>
        <w:rPr>
          <w:rFonts w:hint="eastAsia" w:asciiTheme="minorEastAsia" w:hAnsiTheme="minorEastAsia" w:eastAsiaTheme="minorEastAsia" w:cstheme="minorEastAsia"/>
          <w:sz w:val="28"/>
          <w:szCs w:val="28"/>
          <w:highlight w:val="none"/>
        </w:rPr>
      </w:pPr>
      <w:bookmarkStart w:id="75" w:name="_Toc239510307"/>
      <w:bookmarkStart w:id="76" w:name="_Toc247418281"/>
      <w:bookmarkStart w:id="77" w:name="_Toc247431441"/>
      <w:bookmarkStart w:id="78" w:name="_Toc532375716"/>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bookmarkEnd w:id="75"/>
      <w:bookmarkEnd w:id="76"/>
      <w:bookmarkEnd w:id="77"/>
      <w:bookmarkEnd w:id="78"/>
    </w:p>
    <w:p w14:paraId="0705BB2B">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tbl>
      <w:tblPr>
        <w:tblStyle w:val="15"/>
        <w:tblW w:w="7005" w:type="dxa"/>
        <w:jc w:val="center"/>
        <w:tblLayout w:type="fixed"/>
        <w:tblCellMar>
          <w:top w:w="0" w:type="dxa"/>
          <w:left w:w="0" w:type="dxa"/>
          <w:bottom w:w="0" w:type="dxa"/>
          <w:right w:w="0" w:type="dxa"/>
        </w:tblCellMar>
      </w:tblPr>
      <w:tblGrid>
        <w:gridCol w:w="3240"/>
        <w:gridCol w:w="3765"/>
      </w:tblGrid>
      <w:tr w14:paraId="7B33C9AB">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DE439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E7BB65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0087211D">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F63A3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10675B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2EF3C9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E207D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692FD8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187568F5">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A64A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036E14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07476F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5C6FF98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78DB764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6EC7CB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7C9C36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3777A6A4">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9" w:name="_Toc247418282"/>
      <w:bookmarkStart w:id="80" w:name="_Toc247431442"/>
      <w:bookmarkStart w:id="81" w:name="_Toc532375717"/>
      <w:bookmarkStart w:id="82" w:name="_Toc239510308"/>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bookmarkEnd w:id="79"/>
      <w:bookmarkEnd w:id="80"/>
      <w:bookmarkEnd w:id="81"/>
      <w:bookmarkEnd w:id="82"/>
    </w:p>
    <w:p w14:paraId="4E675BF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0136D3B0">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4123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3FF0696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242FB84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0D4781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48B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68DA7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3DE6E9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6C5E0CE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0F84FD5C">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7CC4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B46D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0FAE3DEC">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44188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FAE9DE3">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3D08CBD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2EA4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6C70E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4AAE3566">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151C18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F3CE3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CAA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1C5F5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0251E57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6486184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8B11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0C8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849FE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28FB84A0">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30A666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295AB9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B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88945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46E771D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52202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DD4A9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AD5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BBCFC1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F973E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69EE2FF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D0B660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144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41ACC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2EA4805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5DC15B1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0D95A1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7A7A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9FD20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13E4F2C9">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2258C1C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3976F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544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7C2E11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B6880D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1D8A19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A594A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263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81A75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697FD4E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53E7BE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52373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383C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7B3FF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4AA3C4F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7D010AE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E87D4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49D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FD781D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1CEE681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728502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F42B6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2FC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C023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A120C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72BAFD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DA5F2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9B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61D9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1A4CD8C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51DFC810">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FE57C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78C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C0BCD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185D0DA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35C96716">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48F8D5">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3CA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D149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52968095">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6051ADF">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36C14C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5FF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C17E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7C492DCB">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48126B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5A4AD6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68D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194B1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38C5FF1B">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68BC9B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9DE2F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71A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84DCA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694849F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46DC4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FFB5C8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58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767F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6FE0FDD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4B36F15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5FEEDA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C3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693C7D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6A754DB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2A355D3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D7E47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005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F5AA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62C4BFA1">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25665DA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53ED2C9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780C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C7B036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20F6D53A">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1D6A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B5BE8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4A3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EBDDA0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374DF81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92063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055001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0E8B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8DB43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5B42940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1786AC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285C8E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3B9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920B15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37682FE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0AFA0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A5915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654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3C6738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12FC5196">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7FFBEC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040399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4177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B129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1F9E447F">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016F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021615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87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A5242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2DBB9181">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24CAF3F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88B69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27BA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93653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5BB9502F">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D1CEDD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FE661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4E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CB520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01CC148B">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524FD0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2A36F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3D1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AEA87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00298E2E">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7229A2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E2949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3D1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AE564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45834346">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2D23CD2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55EC63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64A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2DA07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5C511D6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AFFFE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1FD0D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161A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4A065A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7330FEE1">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40B6E0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6EB98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EF7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79E985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0EE259E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689D806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AE111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F9C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58981C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217102C5">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77AA21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D2A2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C73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66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04CC6AD8">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77EEA4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F0DC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FB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E601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3453A57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72E7307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F02700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A51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76ED3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58BC994A">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42D727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8D7018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321AF1D1">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color w:val="auto"/>
          <w:kern w:val="2"/>
          <w:sz w:val="28"/>
          <w:szCs w:val="24"/>
          <w:highlight w:val="none"/>
          <w:lang w:val="en-US" w:eastAsia="zh-CN" w:bidi="ar-SA"/>
        </w:rPr>
        <w:t>绵九高速药丛山服务</w:t>
      </w:r>
      <w:r>
        <w:rPr>
          <w:rFonts w:hint="default" w:ascii="仿宋" w:hAnsi="仿宋" w:eastAsia="仿宋" w:cs="仿宋"/>
          <w:color w:val="auto"/>
          <w:kern w:val="2"/>
          <w:sz w:val="28"/>
          <w:szCs w:val="24"/>
          <w:highlight w:val="none"/>
          <w:lang w:val="en-US" w:eastAsia="zh-CN" w:bidi="ar-SA"/>
        </w:rPr>
        <w:t>区</w:t>
      </w:r>
      <w:r>
        <w:rPr>
          <w:rFonts w:hint="eastAsia" w:ascii="仿宋" w:hAnsi="仿宋" w:eastAsia="仿宋" w:cs="仿宋"/>
          <w:color w:val="auto"/>
          <w:kern w:val="2"/>
          <w:sz w:val="28"/>
          <w:szCs w:val="24"/>
          <w:highlight w:val="none"/>
          <w:lang w:val="en-US" w:eastAsia="zh-CN" w:bidi="ar-SA"/>
        </w:rPr>
        <w:t>充电站新建工程</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w:t>
      </w:r>
      <w:r>
        <w:rPr>
          <w:rFonts w:hint="eastAsia" w:ascii="仿宋" w:hAnsi="仿宋" w:eastAsia="仿宋" w:cs="仿宋"/>
          <w:color w:val="auto"/>
          <w:kern w:val="2"/>
          <w:sz w:val="28"/>
          <w:szCs w:val="24"/>
          <w:highlight w:val="none"/>
          <w:u w:val="single"/>
          <w:lang w:val="en-US" w:eastAsia="zh-CN" w:bidi="ar-SA"/>
        </w:rPr>
        <w:t xml:space="preserve">        </w:t>
      </w:r>
      <w:r>
        <w:rPr>
          <w:rFonts w:hint="eastAsia" w:ascii="仿宋" w:hAnsi="仿宋" w:eastAsia="仿宋" w:cs="仿宋"/>
          <w:color w:val="auto"/>
          <w:kern w:val="2"/>
          <w:sz w:val="28"/>
          <w:szCs w:val="24"/>
          <w:highlight w:val="none"/>
          <w:lang w:val="en-US" w:eastAsia="zh-CN" w:bidi="ar-SA"/>
        </w:rPr>
        <w:t>）具有同等的法律效力，经合同双方签署立即生效。本合同一式捌份，由甲方执肆份，乙方执肆份。</w:t>
      </w:r>
    </w:p>
    <w:p w14:paraId="79C43CEF">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2F9A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305616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49C9735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AA6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59ABC44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012820F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19A99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73B96E8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3ACF55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E9E0FC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0D52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1EE3AA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   年   月   日</w:t>
            </w:r>
          </w:p>
        </w:tc>
      </w:tr>
    </w:tbl>
    <w:p w14:paraId="4123DFDD">
      <w:pPr>
        <w:rPr>
          <w:highlight w:val="none"/>
        </w:rPr>
      </w:pPr>
    </w:p>
    <w:p w14:paraId="15BEEA13">
      <w:pPr>
        <w:pStyle w:val="11"/>
        <w:spacing w:before="156" w:beforeLines="50" w:after="156" w:afterLines="50"/>
        <w:rPr>
          <w:rFonts w:hint="default" w:ascii="Times New Roman" w:hAnsi="Times New Roman" w:cs="Times New Roman"/>
          <w:b/>
          <w:color w:val="auto"/>
          <w:sz w:val="24"/>
          <w:highlight w:val="none"/>
        </w:rPr>
      </w:pPr>
    </w:p>
    <w:p w14:paraId="5D3638D2">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7EC0E061">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28A85FFD">
      <w:pPr>
        <w:pStyle w:val="8"/>
        <w:keepNext w:val="0"/>
        <w:keepLines w:val="0"/>
        <w:pageBreakBefore w:val="0"/>
        <w:widowControl w:val="0"/>
        <w:kinsoku/>
        <w:wordWrap/>
        <w:overflowPunct/>
        <w:topLinePunct w:val="0"/>
        <w:autoSpaceDE/>
        <w:autoSpaceDN/>
        <w:bidi w:val="0"/>
        <w:adjustRightInd/>
        <w:snapToGrid/>
        <w:spacing w:line="560" w:lineRule="exact"/>
        <w:ind w:firstLine="6544" w:firstLineChars="2328"/>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24D4B7A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color w:val="auto"/>
          <w:sz w:val="28"/>
          <w:highlight w:val="none"/>
          <w:lang w:val="en-US" w:eastAsia="zh-CN"/>
        </w:rPr>
        <w:t>绵九高速药丛山服务</w:t>
      </w:r>
      <w:r>
        <w:rPr>
          <w:rFonts w:hint="default" w:ascii="仿宋" w:hAnsi="仿宋" w:eastAsia="仿宋" w:cs="仿宋"/>
          <w:color w:val="auto"/>
          <w:sz w:val="28"/>
          <w:highlight w:val="none"/>
          <w:lang w:val="en-US" w:eastAsia="zh-CN"/>
        </w:rPr>
        <w:t>区</w:t>
      </w:r>
      <w:r>
        <w:rPr>
          <w:rFonts w:hint="eastAsia" w:ascii="仿宋" w:hAnsi="仿宋" w:eastAsia="仿宋" w:cs="仿宋"/>
          <w:color w:val="auto"/>
          <w:sz w:val="28"/>
          <w:highlight w:val="none"/>
          <w:lang w:val="en-US" w:eastAsia="zh-CN"/>
        </w:rPr>
        <w:t>充电站新建工程</w:t>
      </w:r>
      <w:r>
        <w:rPr>
          <w:rFonts w:hint="eastAsia" w:ascii="仿宋" w:hAnsi="仿宋" w:eastAsia="仿宋" w:cs="仿宋"/>
          <w:color w:val="auto"/>
          <w:sz w:val="28"/>
          <w:highlight w:val="none"/>
        </w:rPr>
        <w:t>合</w:t>
      </w:r>
      <w:r>
        <w:rPr>
          <w:rFonts w:hint="eastAsia" w:ascii="仿宋" w:hAnsi="仿宋" w:eastAsia="仿宋" w:cs="仿宋"/>
          <w:b w:val="0"/>
          <w:color w:val="auto"/>
          <w:sz w:val="28"/>
          <w:szCs w:val="22"/>
          <w:highlight w:val="none"/>
        </w:rPr>
        <w:t>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AACB43">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43896DF3">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4E9E1B">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7D142B4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3E9FCFF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4BE5B35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5193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970B2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01B2E6F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0992067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491DFC55">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375B8F2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053E4E9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6C3396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2FD0E55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52F24FEA">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544AD58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08CDDF8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33BB5905">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02ED115B">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30539639">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绵九高速药丛山服务</w:t>
      </w:r>
      <w:r>
        <w:rPr>
          <w:rFonts w:hint="default" w:ascii="仿宋" w:hAnsi="仿宋" w:eastAsia="仿宋" w:cs="仿宋"/>
          <w:b w:val="0"/>
          <w:bCs w:val="0"/>
          <w:color w:val="auto"/>
          <w:kern w:val="2"/>
          <w:sz w:val="28"/>
          <w:szCs w:val="22"/>
          <w:highlight w:val="none"/>
          <w:lang w:val="en-US" w:eastAsia="zh-CN" w:bidi="en-US"/>
        </w:rPr>
        <w:t>区</w:t>
      </w:r>
      <w:r>
        <w:rPr>
          <w:rFonts w:hint="eastAsia" w:ascii="仿宋" w:hAnsi="仿宋" w:eastAsia="仿宋" w:cs="仿宋"/>
          <w:b w:val="0"/>
          <w:bCs w:val="0"/>
          <w:color w:val="auto"/>
          <w:kern w:val="2"/>
          <w:sz w:val="28"/>
          <w:szCs w:val="22"/>
          <w:highlight w:val="none"/>
          <w:lang w:val="en-US" w:eastAsia="zh-CN" w:bidi="en-US"/>
        </w:rPr>
        <w:t>充电站新建工程合同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w:t>
      </w:r>
      <w:r>
        <w:rPr>
          <w:rFonts w:hint="eastAsia" w:ascii="仿宋" w:hAnsi="仿宋" w:eastAsia="仿宋" w:cs="仿宋"/>
          <w:color w:val="auto"/>
          <w:kern w:val="2"/>
          <w:sz w:val="28"/>
          <w:szCs w:val="24"/>
          <w:highlight w:val="none"/>
          <w:u w:val="single"/>
          <w:lang w:val="en-US" w:eastAsia="zh-CN" w:bidi="ar-SA"/>
        </w:rPr>
        <w:t xml:space="preserve">         </w:t>
      </w:r>
      <w:r>
        <w:rPr>
          <w:rFonts w:hint="eastAsia" w:ascii="仿宋" w:hAnsi="仿宋" w:eastAsia="仿宋" w:cs="仿宋"/>
          <w:color w:val="auto"/>
          <w:kern w:val="2"/>
          <w:sz w:val="28"/>
          <w:szCs w:val="24"/>
          <w:highlight w:val="none"/>
          <w:lang w:val="en-US" w:eastAsia="zh-CN" w:bidi="ar-SA"/>
        </w:rPr>
        <w:t>）具有同等的法律效力，经合同双方签署立即生效。</w:t>
      </w:r>
    </w:p>
    <w:p w14:paraId="17D7B84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406472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3D3A5A6B">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p w14:paraId="7181DB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01DEB9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Times New Roman"/>
          <w:color w:val="auto"/>
          <w:sz w:val="28"/>
          <w:szCs w:val="28"/>
          <w:highlight w:val="none"/>
          <w:u w:val="single"/>
        </w:rPr>
      </w:pPr>
      <w:r>
        <w:rPr>
          <w:rFonts w:hint="eastAsia" w:ascii="仿宋" w:hAnsi="仿宋" w:eastAsia="仿宋" w:cs="Times New Roman"/>
          <w:color w:val="auto"/>
          <w:sz w:val="28"/>
          <w:szCs w:val="28"/>
          <w:highlight w:val="none"/>
        </w:rPr>
        <w:t xml:space="preserve">甲方（盖章）：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乙方（盖章）：     </w:t>
      </w:r>
    </w:p>
    <w:p w14:paraId="2DFACC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2DC461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p>
    <w:p w14:paraId="2DF698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E50847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年  月  日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年  月  日      </w:t>
      </w:r>
    </w:p>
    <w:p w14:paraId="19C60D40">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25CD3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BE4B6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423487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6FFC5A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D49F5E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AE6BA9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DD4F71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42C1ED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7A93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4D3D295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2BBB983">
      <w:pPr>
        <w:pStyle w:val="14"/>
        <w:ind w:left="0" w:leftChars="0" w:firstLine="0" w:firstLineChars="0"/>
        <w:rPr>
          <w:rFonts w:hint="eastAsia"/>
          <w:color w:val="auto"/>
          <w:highlight w:val="none"/>
        </w:rPr>
      </w:pPr>
      <w:r>
        <w:rPr>
          <w:rFonts w:hAnsi="宋体"/>
          <w:color w:val="auto"/>
          <w:sz w:val="24"/>
          <w:highlight w:val="none"/>
        </w:rPr>
        <w:t>格式如下：</w:t>
      </w:r>
    </w:p>
    <w:p w14:paraId="6662595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6891A09C">
      <w:pPr>
        <w:rPr>
          <w:rFonts w:hint="eastAsia" w:ascii="宋体" w:hAnsi="宋体" w:cs="宋体"/>
          <w:color w:val="auto"/>
          <w:sz w:val="24"/>
          <w:highlight w:val="none"/>
        </w:rPr>
      </w:pPr>
    </w:p>
    <w:p w14:paraId="607867F5">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09F1B2C6">
      <w:pPr>
        <w:rPr>
          <w:rFonts w:hint="eastAsia" w:ascii="宋体" w:hAnsi="宋体" w:cs="宋体"/>
          <w:color w:val="auto"/>
          <w:szCs w:val="21"/>
          <w:highlight w:val="none"/>
        </w:rPr>
      </w:pPr>
    </w:p>
    <w:p w14:paraId="738DAB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3F39D3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13646A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2CD784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1A5A220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0560F7D0">
      <w:pPr>
        <w:rPr>
          <w:rFonts w:hint="eastAsia" w:ascii="宋体" w:hAnsi="宋体" w:cs="宋体"/>
          <w:color w:val="auto"/>
          <w:szCs w:val="21"/>
          <w:highlight w:val="none"/>
        </w:rPr>
      </w:pPr>
    </w:p>
    <w:p w14:paraId="629FA2E3">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1126BF5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3B6AEB9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72C8A1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A3E130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B23A40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2A88816">
      <w:pPr>
        <w:rPr>
          <w:rFonts w:hint="eastAsia" w:ascii="宋体" w:hAnsi="宋体" w:cs="宋体"/>
          <w:color w:val="auto"/>
          <w:szCs w:val="21"/>
          <w:highlight w:val="none"/>
        </w:rPr>
      </w:pPr>
    </w:p>
    <w:p w14:paraId="7A3E4804">
      <w:pPr>
        <w:rPr>
          <w:rFonts w:hint="eastAsia" w:ascii="宋体" w:hAnsi="宋体" w:cs="宋体"/>
          <w:color w:val="auto"/>
          <w:szCs w:val="21"/>
          <w:highlight w:val="none"/>
        </w:rPr>
      </w:pPr>
    </w:p>
    <w:p w14:paraId="149C7C4C">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E7CF3E">
      <w:pPr>
        <w:rPr>
          <w:rFonts w:hint="eastAsia" w:ascii="宋体" w:hAnsi="宋体" w:cs="宋体"/>
          <w:color w:val="auto"/>
          <w:szCs w:val="21"/>
          <w:highlight w:val="none"/>
        </w:rPr>
      </w:pPr>
    </w:p>
    <w:p w14:paraId="5433D98B">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3EEC33A5">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43ED0435">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2FDB3759">
      <w:pPr>
        <w:pStyle w:val="11"/>
        <w:keepNext w:val="0"/>
        <w:keepLines w:val="0"/>
        <w:adjustRightInd w:val="0"/>
        <w:snapToGrid w:val="0"/>
        <w:spacing w:line="360" w:lineRule="auto"/>
        <w:ind w:firstLine="420" w:firstLineChars="200"/>
        <w:jc w:val="left"/>
        <w:textAlignment w:val="auto"/>
        <w:rPr>
          <w:rFonts w:ascii="Times New Roman" w:hAnsi="Times New Roman" w:cs="Times New Roman"/>
          <w:color w:val="000000"/>
          <w:szCs w:val="21"/>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739241AE">
      <w:pPr>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0FDAFABA">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绵九高速药丛山服务</w:t>
      </w:r>
      <w:r>
        <w:rPr>
          <w:rFonts w:hint="default" w:ascii="Times New Roman" w:hAnsi="Times New Roman" w:eastAsia="宋体" w:cs="Times New Roman"/>
          <w:b/>
          <w:color w:val="000000"/>
          <w:w w:val="99"/>
          <w:sz w:val="44"/>
          <w:szCs w:val="44"/>
          <w:highlight w:val="none"/>
          <w:lang w:val="en-US" w:eastAsia="zh-CN"/>
        </w:rPr>
        <w:t>区</w:t>
      </w:r>
      <w:r>
        <w:rPr>
          <w:rFonts w:hint="eastAsia" w:ascii="Times New Roman" w:hAnsi="Times New Roman" w:eastAsia="宋体" w:cs="Times New Roman"/>
          <w:b/>
          <w:color w:val="000000"/>
          <w:w w:val="99"/>
          <w:sz w:val="44"/>
          <w:szCs w:val="44"/>
          <w:highlight w:val="none"/>
          <w:lang w:val="en-US" w:eastAsia="zh-CN"/>
        </w:rPr>
        <w:t>充电站</w:t>
      </w:r>
    </w:p>
    <w:p w14:paraId="4385B953">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新建工程</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0813B350">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D7BA">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EE295F">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9EE295F">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DAC6">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CA2E5B"/>
    <w:rsid w:val="010075EB"/>
    <w:rsid w:val="01E63672"/>
    <w:rsid w:val="0278692A"/>
    <w:rsid w:val="028E295E"/>
    <w:rsid w:val="029D1C2C"/>
    <w:rsid w:val="02E1776D"/>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225EE1"/>
    <w:rsid w:val="07C10322"/>
    <w:rsid w:val="08C73537"/>
    <w:rsid w:val="0B6816FD"/>
    <w:rsid w:val="0C774C9E"/>
    <w:rsid w:val="0CA90A34"/>
    <w:rsid w:val="0CC51CA3"/>
    <w:rsid w:val="0D8840E4"/>
    <w:rsid w:val="0E6C0832"/>
    <w:rsid w:val="0EC44672"/>
    <w:rsid w:val="0F5B73EF"/>
    <w:rsid w:val="0FC033BE"/>
    <w:rsid w:val="100E34D8"/>
    <w:rsid w:val="10BF00B0"/>
    <w:rsid w:val="10F85326"/>
    <w:rsid w:val="12285ED5"/>
    <w:rsid w:val="12892D8A"/>
    <w:rsid w:val="13611248"/>
    <w:rsid w:val="145F3F63"/>
    <w:rsid w:val="146B50E8"/>
    <w:rsid w:val="148550BB"/>
    <w:rsid w:val="14B252D3"/>
    <w:rsid w:val="152F6116"/>
    <w:rsid w:val="153776F1"/>
    <w:rsid w:val="15842387"/>
    <w:rsid w:val="15A25673"/>
    <w:rsid w:val="15AB4546"/>
    <w:rsid w:val="15B50867"/>
    <w:rsid w:val="15C507BF"/>
    <w:rsid w:val="15F630D7"/>
    <w:rsid w:val="15F663FC"/>
    <w:rsid w:val="16B73C96"/>
    <w:rsid w:val="16CD598C"/>
    <w:rsid w:val="177B4732"/>
    <w:rsid w:val="17AC70E3"/>
    <w:rsid w:val="181F13D6"/>
    <w:rsid w:val="18AA7167"/>
    <w:rsid w:val="18F02060"/>
    <w:rsid w:val="19AA36AD"/>
    <w:rsid w:val="1A1F3A85"/>
    <w:rsid w:val="1A570A4A"/>
    <w:rsid w:val="1B8F790E"/>
    <w:rsid w:val="1B9F3E1C"/>
    <w:rsid w:val="1BB67BE8"/>
    <w:rsid w:val="1BF105C9"/>
    <w:rsid w:val="1C4F4A80"/>
    <w:rsid w:val="1C8D762C"/>
    <w:rsid w:val="1C934712"/>
    <w:rsid w:val="1CE90183"/>
    <w:rsid w:val="1D92375E"/>
    <w:rsid w:val="1DC21303"/>
    <w:rsid w:val="1DFE5C22"/>
    <w:rsid w:val="1E312EFF"/>
    <w:rsid w:val="1F6E53CE"/>
    <w:rsid w:val="20AE75E0"/>
    <w:rsid w:val="20BE27EC"/>
    <w:rsid w:val="21626E3A"/>
    <w:rsid w:val="21B8750B"/>
    <w:rsid w:val="22356AB5"/>
    <w:rsid w:val="23362726"/>
    <w:rsid w:val="24953CA0"/>
    <w:rsid w:val="253A2EBB"/>
    <w:rsid w:val="254B6F9C"/>
    <w:rsid w:val="264F6DD7"/>
    <w:rsid w:val="26773616"/>
    <w:rsid w:val="267C147F"/>
    <w:rsid w:val="26BD7C79"/>
    <w:rsid w:val="26F15921"/>
    <w:rsid w:val="274E5EF9"/>
    <w:rsid w:val="27627BE6"/>
    <w:rsid w:val="27647DBD"/>
    <w:rsid w:val="2781161A"/>
    <w:rsid w:val="286941CF"/>
    <w:rsid w:val="29263E1F"/>
    <w:rsid w:val="295108F9"/>
    <w:rsid w:val="2A44045E"/>
    <w:rsid w:val="2A8C33B9"/>
    <w:rsid w:val="2AB3637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FE53D5"/>
    <w:rsid w:val="314B0360"/>
    <w:rsid w:val="31843FFE"/>
    <w:rsid w:val="31CD1789"/>
    <w:rsid w:val="31DE14E1"/>
    <w:rsid w:val="32CD7638"/>
    <w:rsid w:val="33F558C2"/>
    <w:rsid w:val="34603D49"/>
    <w:rsid w:val="365A7C39"/>
    <w:rsid w:val="36A32F80"/>
    <w:rsid w:val="36D6728F"/>
    <w:rsid w:val="37561610"/>
    <w:rsid w:val="375A27EB"/>
    <w:rsid w:val="376C483A"/>
    <w:rsid w:val="376E70A4"/>
    <w:rsid w:val="387E4A53"/>
    <w:rsid w:val="39445D84"/>
    <w:rsid w:val="39575962"/>
    <w:rsid w:val="39902D77"/>
    <w:rsid w:val="39EE6317"/>
    <w:rsid w:val="3AA06286"/>
    <w:rsid w:val="3B29323F"/>
    <w:rsid w:val="3B554279"/>
    <w:rsid w:val="3B6A05DB"/>
    <w:rsid w:val="3BC27434"/>
    <w:rsid w:val="3C101F4E"/>
    <w:rsid w:val="3D6B1F93"/>
    <w:rsid w:val="3F2971FC"/>
    <w:rsid w:val="3F3F3C49"/>
    <w:rsid w:val="3FBB7F53"/>
    <w:rsid w:val="407E7DCE"/>
    <w:rsid w:val="40A96612"/>
    <w:rsid w:val="40C51892"/>
    <w:rsid w:val="40D02E27"/>
    <w:rsid w:val="412B65B5"/>
    <w:rsid w:val="424C6DB9"/>
    <w:rsid w:val="4287491A"/>
    <w:rsid w:val="430A0B7A"/>
    <w:rsid w:val="43220884"/>
    <w:rsid w:val="43EC504E"/>
    <w:rsid w:val="44054FCB"/>
    <w:rsid w:val="44A24D6D"/>
    <w:rsid w:val="44B977B9"/>
    <w:rsid w:val="456B4628"/>
    <w:rsid w:val="463159DA"/>
    <w:rsid w:val="466E0603"/>
    <w:rsid w:val="469850DD"/>
    <w:rsid w:val="469A000B"/>
    <w:rsid w:val="47953C4F"/>
    <w:rsid w:val="47F10D9C"/>
    <w:rsid w:val="484E5ED9"/>
    <w:rsid w:val="48F50839"/>
    <w:rsid w:val="4AB209CE"/>
    <w:rsid w:val="4AD1038D"/>
    <w:rsid w:val="4B1D6FAC"/>
    <w:rsid w:val="4BB8687F"/>
    <w:rsid w:val="4BC34C6A"/>
    <w:rsid w:val="4C20442F"/>
    <w:rsid w:val="4C3645D0"/>
    <w:rsid w:val="4C9E35A6"/>
    <w:rsid w:val="4CD30F6F"/>
    <w:rsid w:val="4CFC1E5F"/>
    <w:rsid w:val="4D534C7E"/>
    <w:rsid w:val="4D9547E9"/>
    <w:rsid w:val="4DE73303"/>
    <w:rsid w:val="4DF9341C"/>
    <w:rsid w:val="4E2E31CA"/>
    <w:rsid w:val="4E9E4717"/>
    <w:rsid w:val="4EC015B1"/>
    <w:rsid w:val="50593A6B"/>
    <w:rsid w:val="522C76E0"/>
    <w:rsid w:val="52C14EA8"/>
    <w:rsid w:val="52E54BDE"/>
    <w:rsid w:val="5326496F"/>
    <w:rsid w:val="53803A05"/>
    <w:rsid w:val="53DA7A10"/>
    <w:rsid w:val="554C34EE"/>
    <w:rsid w:val="554D02FB"/>
    <w:rsid w:val="555667CB"/>
    <w:rsid w:val="55583378"/>
    <w:rsid w:val="55A76A84"/>
    <w:rsid w:val="56097806"/>
    <w:rsid w:val="567201D4"/>
    <w:rsid w:val="56E35D76"/>
    <w:rsid w:val="56F444EE"/>
    <w:rsid w:val="57F16823"/>
    <w:rsid w:val="581477D3"/>
    <w:rsid w:val="58161436"/>
    <w:rsid w:val="584F6F05"/>
    <w:rsid w:val="586411C7"/>
    <w:rsid w:val="58CE54E5"/>
    <w:rsid w:val="593645DE"/>
    <w:rsid w:val="59A33053"/>
    <w:rsid w:val="59B94275"/>
    <w:rsid w:val="5A8A591B"/>
    <w:rsid w:val="5ADE5C44"/>
    <w:rsid w:val="5B812DCF"/>
    <w:rsid w:val="5BFF02F1"/>
    <w:rsid w:val="5DC6470A"/>
    <w:rsid w:val="5F5F0972"/>
    <w:rsid w:val="6026148F"/>
    <w:rsid w:val="60E23C3E"/>
    <w:rsid w:val="61093C77"/>
    <w:rsid w:val="610C7A7F"/>
    <w:rsid w:val="61BA67DE"/>
    <w:rsid w:val="625724AA"/>
    <w:rsid w:val="62897BB1"/>
    <w:rsid w:val="629770E6"/>
    <w:rsid w:val="63142348"/>
    <w:rsid w:val="63A837B5"/>
    <w:rsid w:val="64192CFA"/>
    <w:rsid w:val="64B04B11"/>
    <w:rsid w:val="64CC2125"/>
    <w:rsid w:val="64CE0807"/>
    <w:rsid w:val="64DA367B"/>
    <w:rsid w:val="65741DFD"/>
    <w:rsid w:val="662B15AE"/>
    <w:rsid w:val="67E949BD"/>
    <w:rsid w:val="67FC13A8"/>
    <w:rsid w:val="687F3E33"/>
    <w:rsid w:val="689B0BC6"/>
    <w:rsid w:val="68B676F3"/>
    <w:rsid w:val="68BB6FC0"/>
    <w:rsid w:val="69106FC2"/>
    <w:rsid w:val="691C52EC"/>
    <w:rsid w:val="694330B3"/>
    <w:rsid w:val="695D7072"/>
    <w:rsid w:val="69623BE2"/>
    <w:rsid w:val="69707B5B"/>
    <w:rsid w:val="6A694D9B"/>
    <w:rsid w:val="6B3D425E"/>
    <w:rsid w:val="6B6B2AE0"/>
    <w:rsid w:val="6BC10AD9"/>
    <w:rsid w:val="6BD04E5C"/>
    <w:rsid w:val="6DF25BEE"/>
    <w:rsid w:val="6E22598D"/>
    <w:rsid w:val="6E2B1236"/>
    <w:rsid w:val="6E351FAB"/>
    <w:rsid w:val="6E3A3A92"/>
    <w:rsid w:val="6E696B31"/>
    <w:rsid w:val="6ECF4ECB"/>
    <w:rsid w:val="6EE90259"/>
    <w:rsid w:val="6F1C062E"/>
    <w:rsid w:val="6FAD1286"/>
    <w:rsid w:val="700D3738"/>
    <w:rsid w:val="70161236"/>
    <w:rsid w:val="714026E6"/>
    <w:rsid w:val="71A772E2"/>
    <w:rsid w:val="73AC0D2D"/>
    <w:rsid w:val="74F60D5D"/>
    <w:rsid w:val="75854632"/>
    <w:rsid w:val="76596E4D"/>
    <w:rsid w:val="76854D0B"/>
    <w:rsid w:val="7725204A"/>
    <w:rsid w:val="772C33D8"/>
    <w:rsid w:val="777A4144"/>
    <w:rsid w:val="778C0810"/>
    <w:rsid w:val="78434E7D"/>
    <w:rsid w:val="78980F5E"/>
    <w:rsid w:val="78D10A24"/>
    <w:rsid w:val="78EC0FC7"/>
    <w:rsid w:val="78FF56DF"/>
    <w:rsid w:val="79327699"/>
    <w:rsid w:val="79A712FC"/>
    <w:rsid w:val="79B576B5"/>
    <w:rsid w:val="79CB02C9"/>
    <w:rsid w:val="79E7658E"/>
    <w:rsid w:val="7ABB0CFB"/>
    <w:rsid w:val="7B7D6831"/>
    <w:rsid w:val="7BD075C8"/>
    <w:rsid w:val="7C7C2EDB"/>
    <w:rsid w:val="7D203F29"/>
    <w:rsid w:val="7D603DDC"/>
    <w:rsid w:val="7D762A21"/>
    <w:rsid w:val="7D803E3F"/>
    <w:rsid w:val="7E8E5087"/>
    <w:rsid w:val="7F3B3FDA"/>
    <w:rsid w:val="7F6830D8"/>
    <w:rsid w:val="7F9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11327</Words>
  <Characters>12120</Characters>
  <Lines>0</Lines>
  <Paragraphs>0</Paragraphs>
  <TotalTime>26</TotalTime>
  <ScaleCrop>false</ScaleCrop>
  <LinksUpToDate>false</LinksUpToDate>
  <CharactersWithSpaces>12325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2025-07-08T02:56:27Z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