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E1E10">
      <w:pPr>
        <w:snapToGrid w:val="0"/>
        <w:spacing w:line="560" w:lineRule="exact"/>
        <w:jc w:val="center"/>
        <w:rPr>
          <w:rFonts w:ascii="Times New Roman" w:hAnsi="Times New Roman" w:cs="Times New Roman"/>
          <w:b/>
          <w:bCs/>
          <w:kern w:val="44"/>
          <w:sz w:val="44"/>
          <w:szCs w:val="44"/>
          <w:highlight w:val="none"/>
          <w:lang w:bidi="en-US"/>
        </w:rPr>
      </w:pPr>
      <w:r>
        <w:rPr>
          <w:rFonts w:ascii="Times New Roman" w:hAnsi="Times New Roman" w:cs="Times New Roman"/>
          <w:b/>
          <w:bCs/>
          <w:kern w:val="44"/>
          <w:sz w:val="44"/>
          <w:szCs w:val="44"/>
          <w:highlight w:val="none"/>
          <w:lang w:bidi="en-US"/>
        </w:rPr>
        <w:t>四川蜀道新能源科技发展有限公司</w:t>
      </w:r>
    </w:p>
    <w:p w14:paraId="49AB2127">
      <w:pPr>
        <w:spacing w:line="360" w:lineRule="auto"/>
        <w:jc w:val="center"/>
        <w:rPr>
          <w:rFonts w:ascii="Times New Roman" w:hAnsi="Times New Roman" w:cs="Times New Roman"/>
          <w:b/>
          <w:color w:val="000000"/>
          <w:sz w:val="44"/>
          <w:szCs w:val="44"/>
          <w:highlight w:val="none"/>
        </w:rPr>
      </w:pPr>
      <w:r>
        <w:rPr>
          <w:rFonts w:hint="eastAsia" w:ascii="Times New Roman" w:hAnsi="Times New Roman" w:cs="Times New Roman"/>
          <w:b/>
          <w:bCs/>
          <w:kern w:val="44"/>
          <w:sz w:val="44"/>
          <w:szCs w:val="44"/>
          <w:highlight w:val="none"/>
          <w:lang w:val="en-US" w:eastAsia="zh-CN" w:bidi="en-US"/>
        </w:rPr>
        <w:t>G0615线久治至马尔康段高速公路刷经寺服务区充电站项目</w:t>
      </w:r>
    </w:p>
    <w:p w14:paraId="3B95EB1C">
      <w:pPr>
        <w:pStyle w:val="11"/>
        <w:snapToGrid w:val="0"/>
        <w:spacing w:line="360" w:lineRule="auto"/>
        <w:jc w:val="center"/>
        <w:rPr>
          <w:rFonts w:ascii="Times New Roman" w:hAnsi="Times New Roman" w:cs="Times New Roman"/>
          <w:b/>
          <w:bCs/>
          <w:kern w:val="44"/>
          <w:sz w:val="84"/>
          <w:szCs w:val="84"/>
          <w:highlight w:val="none"/>
          <w:lang w:bidi="en-US"/>
        </w:rPr>
      </w:pPr>
    </w:p>
    <w:p w14:paraId="0BD0C3FB">
      <w:pPr>
        <w:pStyle w:val="11"/>
        <w:snapToGrid w:val="0"/>
        <w:spacing w:line="360" w:lineRule="auto"/>
        <w:jc w:val="center"/>
        <w:rPr>
          <w:rFonts w:hint="default" w:ascii="Times New Roman" w:hAnsi="Times New Roman" w:eastAsia="宋体" w:cs="Times New Roman"/>
          <w:b/>
          <w:bCs/>
          <w:kern w:val="44"/>
          <w:sz w:val="84"/>
          <w:szCs w:val="84"/>
          <w:highlight w:val="none"/>
          <w:lang w:val="en-US" w:eastAsia="zh-CN" w:bidi="en-US"/>
        </w:rPr>
      </w:pPr>
    </w:p>
    <w:p w14:paraId="6A5C63B9">
      <w:pPr>
        <w:pStyle w:val="11"/>
        <w:snapToGrid w:val="0"/>
        <w:spacing w:line="360" w:lineRule="auto"/>
        <w:jc w:val="center"/>
        <w:rPr>
          <w:rFonts w:ascii="Times New Roman" w:hAnsi="Times New Roman" w:cs="Times New Roman"/>
          <w:b/>
          <w:spacing w:val="80"/>
          <w:sz w:val="90"/>
          <w:szCs w:val="90"/>
          <w:highlight w:val="none"/>
        </w:rPr>
      </w:pPr>
      <w:r>
        <w:rPr>
          <w:rFonts w:hint="eastAsia" w:ascii="Times New Roman" w:hAnsi="Times New Roman" w:cs="Times New Roman"/>
          <w:b/>
          <w:spacing w:val="80"/>
          <w:sz w:val="90"/>
          <w:szCs w:val="90"/>
          <w:highlight w:val="none"/>
        </w:rPr>
        <w:t>比选</w:t>
      </w:r>
      <w:r>
        <w:rPr>
          <w:rFonts w:ascii="Times New Roman" w:hAnsi="Times New Roman" w:cs="Times New Roman"/>
          <w:b/>
          <w:spacing w:val="80"/>
          <w:sz w:val="90"/>
          <w:szCs w:val="90"/>
          <w:highlight w:val="none"/>
        </w:rPr>
        <w:t>文件</w:t>
      </w:r>
    </w:p>
    <w:p w14:paraId="78AF536B">
      <w:pPr>
        <w:pStyle w:val="11"/>
        <w:snapToGrid w:val="0"/>
        <w:spacing w:line="360" w:lineRule="auto"/>
        <w:jc w:val="center"/>
        <w:rPr>
          <w:rFonts w:ascii="Times New Roman" w:hAnsi="Times New Roman" w:cs="Times New Roman"/>
          <w:b/>
          <w:bCs/>
          <w:kern w:val="44"/>
          <w:sz w:val="84"/>
          <w:szCs w:val="84"/>
          <w:highlight w:val="none"/>
          <w:lang w:bidi="en-US"/>
        </w:rPr>
      </w:pPr>
    </w:p>
    <w:p w14:paraId="41FEBE73">
      <w:pPr>
        <w:pStyle w:val="11"/>
        <w:snapToGrid w:val="0"/>
        <w:spacing w:line="360" w:lineRule="auto"/>
        <w:jc w:val="center"/>
        <w:rPr>
          <w:rFonts w:ascii="Times New Roman" w:hAnsi="Times New Roman" w:cs="Times New Roman"/>
          <w:b/>
          <w:bCs/>
          <w:kern w:val="44"/>
          <w:sz w:val="84"/>
          <w:szCs w:val="84"/>
          <w:highlight w:val="none"/>
          <w:lang w:bidi="en-US"/>
        </w:rPr>
      </w:pPr>
    </w:p>
    <w:p w14:paraId="33BB90B2">
      <w:pPr>
        <w:pStyle w:val="11"/>
        <w:snapToGrid w:val="0"/>
        <w:spacing w:line="360" w:lineRule="auto"/>
        <w:jc w:val="center"/>
        <w:rPr>
          <w:rFonts w:ascii="Times New Roman" w:hAnsi="Times New Roman" w:cs="Times New Roman"/>
          <w:b/>
          <w:bCs/>
          <w:kern w:val="44"/>
          <w:sz w:val="84"/>
          <w:szCs w:val="84"/>
          <w:highlight w:val="none"/>
          <w:lang w:bidi="en-US"/>
        </w:rPr>
      </w:pPr>
    </w:p>
    <w:p w14:paraId="23BE159C">
      <w:pPr>
        <w:autoSpaceDE w:val="0"/>
        <w:autoSpaceDN w:val="0"/>
        <w:adjustRightInd w:val="0"/>
        <w:spacing w:line="640" w:lineRule="exact"/>
        <w:ind w:right="113"/>
        <w:jc w:val="center"/>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 xml:space="preserve"> </w:t>
      </w:r>
      <w:r>
        <w:rPr>
          <w:rFonts w:hint="eastAsia" w:ascii="Times New Roman" w:hAnsi="Times New Roman" w:cs="Times New Roman"/>
          <w:b/>
          <w:bCs/>
          <w:kern w:val="44"/>
          <w:sz w:val="32"/>
          <w:szCs w:val="32"/>
          <w:highlight w:val="none"/>
          <w:lang w:bidi="en-US"/>
        </w:rPr>
        <w:t>比选人</w:t>
      </w:r>
      <w:r>
        <w:rPr>
          <w:rFonts w:ascii="Times New Roman" w:hAnsi="Times New Roman" w:cs="Times New Roman"/>
          <w:b/>
          <w:bCs/>
          <w:kern w:val="44"/>
          <w:sz w:val="32"/>
          <w:szCs w:val="32"/>
          <w:highlight w:val="none"/>
          <w:lang w:bidi="en-US"/>
        </w:rPr>
        <w:t>：四川蜀道新能源科技发展有限公司</w:t>
      </w:r>
    </w:p>
    <w:p w14:paraId="65ED72E9">
      <w:pPr>
        <w:autoSpaceDE w:val="0"/>
        <w:autoSpaceDN w:val="0"/>
        <w:adjustRightInd w:val="0"/>
        <w:spacing w:line="640" w:lineRule="exact"/>
        <w:ind w:right="113" w:firstLine="1285" w:firstLineChars="400"/>
        <w:jc w:val="left"/>
        <w:outlineLvl w:val="0"/>
        <w:rPr>
          <w:rFonts w:ascii="Times New Roman" w:hAnsi="Times New Roman" w:cs="Times New Roman"/>
          <w:b/>
          <w:bCs/>
          <w:kern w:val="44"/>
          <w:sz w:val="32"/>
          <w:szCs w:val="32"/>
          <w:highlight w:val="none"/>
          <w:lang w:bidi="en-US"/>
        </w:rPr>
      </w:pPr>
      <w:r>
        <w:rPr>
          <w:rFonts w:ascii="Times New Roman" w:hAnsi="Times New Roman" w:cs="Times New Roman"/>
          <w:b/>
          <w:bCs/>
          <w:kern w:val="44"/>
          <w:sz w:val="32"/>
          <w:szCs w:val="32"/>
          <w:highlight w:val="none"/>
          <w:lang w:bidi="en-US"/>
        </w:rPr>
        <w:t>时  间：</w:t>
      </w:r>
      <w:r>
        <w:rPr>
          <w:rFonts w:hint="eastAsia" w:ascii="Times New Roman" w:hAnsi="Times New Roman" w:cs="Times New Roman"/>
          <w:b/>
          <w:bCs/>
          <w:kern w:val="44"/>
          <w:sz w:val="32"/>
          <w:szCs w:val="32"/>
          <w:highlight w:val="none"/>
          <w:lang w:val="en-US" w:eastAsia="zh-CN" w:bidi="en-US"/>
        </w:rPr>
        <w:t xml:space="preserve">      </w:t>
      </w:r>
      <w:r>
        <w:rPr>
          <w:rFonts w:ascii="Times New Roman" w:hAnsi="Times New Roman" w:cs="Times New Roman"/>
          <w:b/>
          <w:bCs/>
          <w:kern w:val="44"/>
          <w:sz w:val="32"/>
          <w:szCs w:val="32"/>
          <w:highlight w:val="none"/>
          <w:lang w:bidi="en-US"/>
        </w:rPr>
        <w:t>二〇二</w:t>
      </w:r>
      <w:r>
        <w:rPr>
          <w:rFonts w:hint="eastAsia" w:ascii="Times New Roman" w:hAnsi="Times New Roman" w:cs="Times New Roman"/>
          <w:b/>
          <w:bCs/>
          <w:kern w:val="44"/>
          <w:sz w:val="32"/>
          <w:szCs w:val="32"/>
          <w:highlight w:val="none"/>
          <w:lang w:val="en-US" w:eastAsia="zh-CN" w:bidi="en-US"/>
        </w:rPr>
        <w:t>五</w:t>
      </w:r>
      <w:r>
        <w:rPr>
          <w:rFonts w:ascii="Times New Roman" w:hAnsi="Times New Roman" w:cs="Times New Roman"/>
          <w:b/>
          <w:bCs/>
          <w:kern w:val="44"/>
          <w:sz w:val="32"/>
          <w:szCs w:val="32"/>
          <w:highlight w:val="none"/>
          <w:lang w:bidi="en-US"/>
        </w:rPr>
        <w:t>年</w:t>
      </w:r>
      <w:r>
        <w:rPr>
          <w:rFonts w:hint="eastAsia" w:ascii="Times New Roman" w:hAnsi="Times New Roman" w:cs="Times New Roman"/>
          <w:b/>
          <w:bCs/>
          <w:kern w:val="44"/>
          <w:sz w:val="32"/>
          <w:szCs w:val="32"/>
          <w:highlight w:val="none"/>
          <w:lang w:val="en-US" w:eastAsia="zh-CN" w:bidi="en-US"/>
        </w:rPr>
        <w:t>九</w:t>
      </w:r>
      <w:r>
        <w:rPr>
          <w:rFonts w:ascii="Times New Roman" w:hAnsi="Times New Roman" w:cs="Times New Roman"/>
          <w:b/>
          <w:bCs/>
          <w:kern w:val="44"/>
          <w:sz w:val="32"/>
          <w:szCs w:val="32"/>
          <w:highlight w:val="none"/>
          <w:lang w:bidi="en-US"/>
        </w:rPr>
        <w:t xml:space="preserve">月        </w:t>
      </w:r>
    </w:p>
    <w:p w14:paraId="6543EF70">
      <w:pPr>
        <w:jc w:val="center"/>
        <w:rPr>
          <w:rFonts w:ascii="Times New Roman" w:hAnsi="Times New Roman" w:cs="Times New Roman"/>
          <w:b/>
          <w:bCs/>
          <w:sz w:val="28"/>
          <w:szCs w:val="28"/>
          <w:highlight w:val="none"/>
        </w:rPr>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pPr>
    </w:p>
    <w:p w14:paraId="02B15850">
      <w:pPr>
        <w:jc w:val="center"/>
        <w:rPr>
          <w:rFonts w:ascii="Times New Roman" w:hAnsi="Times New Roman" w:cs="Times New Roman"/>
          <w:b/>
          <w:bCs/>
          <w:sz w:val="28"/>
          <w:szCs w:val="28"/>
          <w:highlight w:val="none"/>
        </w:rPr>
      </w:pPr>
      <w:r>
        <w:rPr>
          <w:rFonts w:ascii="Times New Roman" w:hAnsi="Times New Roman" w:cs="Times New Roman"/>
          <w:b/>
          <w:bCs/>
          <w:sz w:val="28"/>
          <w:szCs w:val="28"/>
          <w:highlight w:val="none"/>
        </w:rPr>
        <w:t>目录</w:t>
      </w:r>
    </w:p>
    <w:p w14:paraId="27CFBE47">
      <w:pPr>
        <w:jc w:val="center"/>
        <w:rPr>
          <w:rFonts w:ascii="Times New Roman" w:hAnsi="Times New Roman" w:cs="Times New Roman"/>
          <w:b/>
          <w:bCs/>
          <w:sz w:val="28"/>
          <w:szCs w:val="28"/>
          <w:highlight w:val="none"/>
        </w:rPr>
      </w:pPr>
    </w:p>
    <w:p w14:paraId="3A04BC05">
      <w:pPr>
        <w:pStyle w:val="13"/>
        <w:tabs>
          <w:tab w:val="right" w:leader="dot" w:pos="8640"/>
          <w:tab w:val="clear" w:pos="9180"/>
        </w:tabs>
        <w:spacing w:line="480" w:lineRule="auto"/>
        <w:rPr>
          <w:szCs w:val="21"/>
          <w:highlight w:val="none"/>
        </w:rPr>
      </w:pPr>
      <w:r>
        <w:rPr>
          <w:szCs w:val="21"/>
          <w:highlight w:val="none"/>
        </w:rPr>
        <w:fldChar w:fldCharType="begin"/>
      </w:r>
      <w:r>
        <w:rPr>
          <w:szCs w:val="21"/>
          <w:highlight w:val="none"/>
        </w:rPr>
        <w:instrText xml:space="preserve">TOC \o "1-1" \h \u </w:instrText>
      </w:r>
      <w:r>
        <w:rPr>
          <w:szCs w:val="21"/>
          <w:highlight w:val="none"/>
        </w:rPr>
        <w:fldChar w:fldCharType="separate"/>
      </w:r>
      <w:r>
        <w:rPr>
          <w:highlight w:val="none"/>
        </w:rPr>
        <w:fldChar w:fldCharType="begin"/>
      </w:r>
      <w:r>
        <w:rPr>
          <w:highlight w:val="none"/>
        </w:rPr>
        <w:instrText xml:space="preserve"> HYPERLINK \l "_Toc31265" </w:instrText>
      </w:r>
      <w:r>
        <w:rPr>
          <w:highlight w:val="none"/>
        </w:rPr>
        <w:fldChar w:fldCharType="separate"/>
      </w:r>
      <w:r>
        <w:rPr>
          <w:szCs w:val="21"/>
          <w:highlight w:val="none"/>
        </w:rPr>
        <w:t xml:space="preserve">第一章 </w:t>
      </w:r>
      <w:r>
        <w:rPr>
          <w:rFonts w:hint="eastAsia"/>
          <w:szCs w:val="21"/>
          <w:highlight w:val="none"/>
        </w:rPr>
        <w:t>比选</w:t>
      </w:r>
      <w:r>
        <w:rPr>
          <w:szCs w:val="21"/>
          <w:highlight w:val="none"/>
        </w:rPr>
        <w:t>公告</w:t>
      </w:r>
      <w:r>
        <w:rPr>
          <w:szCs w:val="21"/>
          <w:highlight w:val="none"/>
        </w:rPr>
        <w:tab/>
      </w:r>
      <w:r>
        <w:rPr>
          <w:szCs w:val="21"/>
          <w:highlight w:val="none"/>
        </w:rPr>
        <w:t>1</w:t>
      </w:r>
      <w:r>
        <w:rPr>
          <w:szCs w:val="21"/>
          <w:highlight w:val="none"/>
        </w:rPr>
        <w:fldChar w:fldCharType="end"/>
      </w:r>
    </w:p>
    <w:p w14:paraId="0B8DEC2C">
      <w:pPr>
        <w:pStyle w:val="13"/>
        <w:tabs>
          <w:tab w:val="right" w:leader="dot" w:pos="8640"/>
          <w:tab w:val="clear" w:pos="9180"/>
        </w:tabs>
        <w:spacing w:line="480" w:lineRule="auto"/>
        <w:rPr>
          <w:rFonts w:hint="eastAsia" w:eastAsia="宋体"/>
          <w:szCs w:val="21"/>
          <w:highlight w:val="none"/>
          <w:lang w:eastAsia="zh-CN"/>
        </w:rPr>
      </w:pPr>
      <w:r>
        <w:rPr>
          <w:highlight w:val="none"/>
        </w:rPr>
        <w:fldChar w:fldCharType="begin"/>
      </w:r>
      <w:r>
        <w:rPr>
          <w:highlight w:val="none"/>
        </w:rPr>
        <w:instrText xml:space="preserve"> HYPERLINK \l "_Toc8637" </w:instrText>
      </w:r>
      <w:r>
        <w:rPr>
          <w:highlight w:val="none"/>
        </w:rPr>
        <w:fldChar w:fldCharType="separate"/>
      </w:r>
      <w:r>
        <w:rPr>
          <w:szCs w:val="21"/>
          <w:highlight w:val="none"/>
        </w:rPr>
        <w:t xml:space="preserve">第二章 </w:t>
      </w:r>
      <w:r>
        <w:rPr>
          <w:rFonts w:hint="eastAsia"/>
          <w:szCs w:val="21"/>
          <w:highlight w:val="none"/>
        </w:rPr>
        <w:t>比选申请</w:t>
      </w:r>
      <w:r>
        <w:rPr>
          <w:szCs w:val="21"/>
          <w:highlight w:val="none"/>
        </w:rPr>
        <w:t>人须知</w:t>
      </w:r>
      <w:r>
        <w:rPr>
          <w:szCs w:val="21"/>
          <w:highlight w:val="none"/>
        </w:rPr>
        <w:tab/>
      </w:r>
      <w:r>
        <w:rPr>
          <w:szCs w:val="21"/>
          <w:highlight w:val="none"/>
        </w:rPr>
        <w:fldChar w:fldCharType="end"/>
      </w:r>
      <w:r>
        <w:rPr>
          <w:rFonts w:hint="eastAsia"/>
          <w:szCs w:val="21"/>
          <w:highlight w:val="none"/>
          <w:lang w:val="en-US" w:eastAsia="zh-CN"/>
        </w:rPr>
        <w:t>5</w:t>
      </w:r>
    </w:p>
    <w:p w14:paraId="15C039CE">
      <w:pPr>
        <w:pStyle w:val="13"/>
        <w:tabs>
          <w:tab w:val="right" w:leader="dot" w:pos="8640"/>
          <w:tab w:val="clear" w:pos="9180"/>
        </w:tabs>
        <w:spacing w:line="480" w:lineRule="auto"/>
        <w:rPr>
          <w:rFonts w:hint="default" w:eastAsia="宋体"/>
          <w:szCs w:val="21"/>
          <w:highlight w:val="none"/>
          <w:lang w:val="en-US" w:eastAsia="zh-CN"/>
        </w:rPr>
      </w:pPr>
      <w:r>
        <w:rPr>
          <w:highlight w:val="none"/>
        </w:rPr>
        <w:fldChar w:fldCharType="begin"/>
      </w:r>
      <w:r>
        <w:rPr>
          <w:highlight w:val="none"/>
        </w:rPr>
        <w:instrText xml:space="preserve"> HYPERLINK \l "_Toc32147" </w:instrText>
      </w:r>
      <w:r>
        <w:rPr>
          <w:highlight w:val="none"/>
        </w:rPr>
        <w:fldChar w:fldCharType="separate"/>
      </w:r>
      <w:r>
        <w:rPr>
          <w:szCs w:val="21"/>
          <w:highlight w:val="none"/>
        </w:rPr>
        <w:t>第三章 评</w:t>
      </w:r>
      <w:r>
        <w:rPr>
          <w:rFonts w:hint="eastAsia"/>
          <w:szCs w:val="21"/>
          <w:highlight w:val="none"/>
          <w:lang w:val="en-US" w:eastAsia="zh-CN"/>
        </w:rPr>
        <w:t>审</w:t>
      </w:r>
      <w:r>
        <w:rPr>
          <w:szCs w:val="21"/>
          <w:highlight w:val="none"/>
        </w:rPr>
        <w:t>办法（综合评分法）</w:t>
      </w:r>
      <w:r>
        <w:rPr>
          <w:szCs w:val="21"/>
          <w:highlight w:val="none"/>
        </w:rPr>
        <w:tab/>
      </w:r>
      <w:r>
        <w:rPr>
          <w:szCs w:val="21"/>
          <w:highlight w:val="none"/>
        </w:rPr>
        <w:fldChar w:fldCharType="end"/>
      </w:r>
      <w:r>
        <w:rPr>
          <w:rFonts w:hint="eastAsia"/>
          <w:szCs w:val="21"/>
          <w:highlight w:val="none"/>
          <w:lang w:val="en-US" w:eastAsia="zh-CN"/>
        </w:rPr>
        <w:t>19</w:t>
      </w:r>
    </w:p>
    <w:p w14:paraId="1A1204C6">
      <w:pPr>
        <w:pStyle w:val="13"/>
        <w:tabs>
          <w:tab w:val="right" w:leader="dot" w:pos="8640"/>
          <w:tab w:val="clear" w:pos="9180"/>
        </w:tabs>
        <w:spacing w:line="480" w:lineRule="auto"/>
        <w:rPr>
          <w:szCs w:val="21"/>
          <w:highlight w:val="none"/>
        </w:rPr>
      </w:pPr>
      <w:r>
        <w:rPr>
          <w:highlight w:val="none"/>
        </w:rPr>
        <w:fldChar w:fldCharType="begin"/>
      </w:r>
      <w:r>
        <w:rPr>
          <w:highlight w:val="none"/>
        </w:rPr>
        <w:instrText xml:space="preserve"> HYPERLINK \l "_Toc7004" </w:instrText>
      </w:r>
      <w:r>
        <w:rPr>
          <w:highlight w:val="none"/>
        </w:rPr>
        <w:fldChar w:fldCharType="separate"/>
      </w:r>
      <w:r>
        <w:rPr>
          <w:szCs w:val="21"/>
          <w:highlight w:val="none"/>
        </w:rPr>
        <w:t>第四章 合同条款及格式</w:t>
      </w:r>
      <w:r>
        <w:rPr>
          <w:szCs w:val="21"/>
          <w:highlight w:val="none"/>
        </w:rPr>
        <w:tab/>
      </w:r>
      <w:r>
        <w:rPr>
          <w:szCs w:val="21"/>
          <w:highlight w:val="none"/>
        </w:rPr>
        <w:t>2</w:t>
      </w:r>
      <w:r>
        <w:rPr>
          <w:szCs w:val="21"/>
          <w:highlight w:val="none"/>
        </w:rPr>
        <w:fldChar w:fldCharType="end"/>
      </w:r>
      <w:r>
        <w:rPr>
          <w:rFonts w:hint="eastAsia"/>
          <w:szCs w:val="21"/>
          <w:highlight w:val="none"/>
          <w:lang w:val="en-US" w:eastAsia="zh-CN"/>
        </w:rPr>
        <w:t>5</w:t>
      </w:r>
    </w:p>
    <w:p w14:paraId="68098CAB">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"_Toc5852" </w:instrText>
      </w:r>
      <w:r>
        <w:rPr>
          <w:highlight w:val="none"/>
        </w:rPr>
        <w:fldChar w:fldCharType="separate"/>
      </w:r>
      <w:r>
        <w:rPr>
          <w:szCs w:val="21"/>
          <w:highlight w:val="none"/>
        </w:rPr>
        <w:t xml:space="preserve">第五章 </w:t>
      </w:r>
      <w:r>
        <w:rPr>
          <w:rFonts w:hint="eastAsia"/>
          <w:color w:val="auto"/>
          <w:sz w:val="21"/>
          <w:szCs w:val="21"/>
          <w:highlight w:val="none"/>
          <w:lang w:val="en-US" w:eastAsia="zh-CN"/>
        </w:rPr>
        <w:t>招标控制价清单</w:t>
      </w:r>
      <w:r>
        <w:rPr>
          <w:rFonts w:hint="default" w:ascii="Times New Roman" w:hAnsi="Times New Roman" w:eastAsia="宋体"/>
          <w:color w:val="auto"/>
          <w:sz w:val="21"/>
          <w:szCs w:val="21"/>
          <w:highlight w:val="none"/>
        </w:rPr>
        <w:t>及图纸</w:t>
      </w:r>
      <w:r>
        <w:rPr>
          <w:rFonts w:hint="eastAsia"/>
          <w:color w:val="auto"/>
          <w:sz w:val="21"/>
          <w:szCs w:val="21"/>
          <w:highlight w:val="none"/>
          <w:lang w:val="en-US" w:eastAsia="zh-CN"/>
        </w:rPr>
        <w:t>（另册）</w:t>
      </w:r>
      <w:r>
        <w:rPr>
          <w:szCs w:val="21"/>
          <w:highlight w:val="none"/>
        </w:rPr>
        <w:tab/>
      </w:r>
      <w:r>
        <w:rPr>
          <w:szCs w:val="21"/>
          <w:highlight w:val="none"/>
        </w:rPr>
        <w:fldChar w:fldCharType="end"/>
      </w:r>
      <w:r>
        <w:rPr>
          <w:rFonts w:hint="eastAsia"/>
          <w:szCs w:val="21"/>
          <w:highlight w:val="none"/>
          <w:lang w:val="en-US" w:eastAsia="zh-CN"/>
        </w:rPr>
        <w:t>121</w:t>
      </w:r>
    </w:p>
    <w:p w14:paraId="254DD741">
      <w:pPr>
        <w:pStyle w:val="13"/>
        <w:tabs>
          <w:tab w:val="right" w:leader="dot" w:pos="8640"/>
          <w:tab w:val="clear" w:pos="9180"/>
        </w:tabs>
        <w:spacing w:line="480" w:lineRule="auto"/>
        <w:rPr>
          <w:rFonts w:hint="default"/>
          <w:szCs w:val="21"/>
          <w:highlight w:val="none"/>
          <w:lang w:val="en-US"/>
        </w:rPr>
      </w:pPr>
      <w:r>
        <w:rPr>
          <w:highlight w:val="none"/>
        </w:rPr>
        <w:fldChar w:fldCharType="begin"/>
      </w:r>
      <w:r>
        <w:rPr>
          <w:highlight w:val="none"/>
        </w:rPr>
        <w:instrText xml:space="preserve"> HYPERLINK \l "_Toc31791" </w:instrText>
      </w:r>
      <w:r>
        <w:rPr>
          <w:highlight w:val="none"/>
        </w:rPr>
        <w:fldChar w:fldCharType="separate"/>
      </w:r>
      <w:r>
        <w:rPr>
          <w:szCs w:val="21"/>
          <w:highlight w:val="none"/>
        </w:rPr>
        <w:t xml:space="preserve">第六章 </w:t>
      </w:r>
      <w:r>
        <w:rPr>
          <w:rFonts w:hint="eastAsia"/>
          <w:szCs w:val="21"/>
          <w:highlight w:val="none"/>
        </w:rPr>
        <w:t>比选申请</w:t>
      </w:r>
      <w:r>
        <w:rPr>
          <w:szCs w:val="21"/>
          <w:highlight w:val="none"/>
        </w:rPr>
        <w:t>文件格式</w:t>
      </w:r>
      <w:r>
        <w:rPr>
          <w:szCs w:val="21"/>
          <w:highlight w:val="none"/>
        </w:rPr>
        <w:tab/>
      </w:r>
      <w:r>
        <w:rPr>
          <w:szCs w:val="21"/>
          <w:highlight w:val="none"/>
        </w:rPr>
        <w:fldChar w:fldCharType="end"/>
      </w:r>
      <w:r>
        <w:rPr>
          <w:rFonts w:hint="eastAsia"/>
          <w:szCs w:val="21"/>
          <w:highlight w:val="none"/>
          <w:lang w:val="en-US" w:eastAsia="zh-CN"/>
        </w:rPr>
        <w:t>123</w:t>
      </w:r>
    </w:p>
    <w:p w14:paraId="5F662031">
      <w:pPr>
        <w:pStyle w:val="13"/>
        <w:tabs>
          <w:tab w:val="right" w:leader="dot" w:pos="8640"/>
          <w:tab w:val="clear" w:pos="9180"/>
        </w:tabs>
        <w:spacing w:line="480" w:lineRule="auto"/>
        <w:rPr>
          <w:szCs w:val="21"/>
          <w:highlight w:val="none"/>
        </w:rPr>
      </w:pPr>
    </w:p>
    <w:p w14:paraId="154F5EDA">
      <w:pPr>
        <w:spacing w:line="480" w:lineRule="auto"/>
        <w:rPr>
          <w:rFonts w:ascii="Times New Roman" w:hAnsi="Times New Roman" w:cs="Times New Roman"/>
          <w:highlight w:val="none"/>
        </w:rPr>
      </w:pPr>
      <w:r>
        <w:rPr>
          <w:rFonts w:ascii="Times New Roman" w:hAnsi="Times New Roman" w:cs="Times New Roman"/>
          <w:szCs w:val="21"/>
          <w:highlight w:val="none"/>
        </w:rPr>
        <w:fldChar w:fldCharType="end"/>
      </w:r>
    </w:p>
    <w:p w14:paraId="346DCE9A">
      <w:pPr>
        <w:pStyle w:val="2"/>
        <w:jc w:val="center"/>
        <w:rPr>
          <w:color w:val="000000"/>
          <w:highlight w:val="none"/>
        </w:rPr>
        <w:sectPr>
          <w:footerReference r:id="rId6" w:type="default"/>
          <w:pgSz w:w="11906" w:h="16838"/>
          <w:pgMar w:top="1440" w:right="1800" w:bottom="1440" w:left="1800" w:header="851" w:footer="992" w:gutter="0"/>
          <w:pgNumType w:fmt="numberInDash" w:start="1"/>
          <w:cols w:space="720" w:num="1"/>
          <w:docGrid w:type="lines" w:linePitch="312" w:charSpace="0"/>
        </w:sectPr>
      </w:pPr>
    </w:p>
    <w:p w14:paraId="05E29679">
      <w:pPr>
        <w:pStyle w:val="2"/>
        <w:spacing w:line="579" w:lineRule="exact"/>
        <w:jc w:val="center"/>
        <w:rPr>
          <w:color w:val="000000"/>
          <w:highlight w:val="none"/>
        </w:rPr>
      </w:pPr>
      <w:r>
        <w:rPr>
          <w:color w:val="000000"/>
          <w:highlight w:val="none"/>
        </w:rPr>
        <w:t xml:space="preserve">第一章 </w:t>
      </w:r>
      <w:r>
        <w:rPr>
          <w:rFonts w:hint="eastAsia"/>
          <w:color w:val="000000"/>
          <w:highlight w:val="none"/>
        </w:rPr>
        <w:t>比选公告</w:t>
      </w:r>
    </w:p>
    <w:p w14:paraId="2CC0966B">
      <w:pPr>
        <w:snapToGrid w:val="0"/>
        <w:spacing w:line="560" w:lineRule="exact"/>
        <w:jc w:val="center"/>
        <w:rPr>
          <w:rFonts w:hint="eastAsia" w:ascii="Times New Roman" w:hAnsi="Times New Roman" w:cs="Times New Roman"/>
          <w:b/>
          <w:bCs w:val="0"/>
          <w:color w:val="000000"/>
          <w:kern w:val="2"/>
          <w:sz w:val="30"/>
          <w:szCs w:val="30"/>
          <w:highlight w:val="none"/>
          <w:lang w:val="en-US" w:eastAsia="zh-CN" w:bidi="en-US"/>
        </w:rPr>
      </w:pPr>
      <w:r>
        <w:rPr>
          <w:rFonts w:hint="eastAsia" w:ascii="Times New Roman" w:hAnsi="Times New Roman" w:cs="Times New Roman"/>
          <w:b/>
          <w:color w:val="000000"/>
          <w:sz w:val="30"/>
          <w:szCs w:val="30"/>
          <w:highlight w:val="none"/>
          <w:lang w:val="en-US" w:eastAsia="zh-CN"/>
        </w:rPr>
        <w:t xml:space="preserve"> G0615线久治至马尔康段高速公路刷经寺服务区充电站项目</w:t>
      </w:r>
    </w:p>
    <w:p w14:paraId="0489E0E8">
      <w:pPr>
        <w:spacing w:line="579" w:lineRule="exact"/>
        <w:jc w:val="center"/>
        <w:rPr>
          <w:rFonts w:ascii="Times New Roman" w:hAnsi="Times New Roman" w:cs="Times New Roman"/>
          <w:b/>
          <w:color w:val="000000"/>
          <w:sz w:val="30"/>
          <w:szCs w:val="30"/>
          <w:highlight w:val="none"/>
        </w:rPr>
      </w:pPr>
      <w:r>
        <w:rPr>
          <w:rFonts w:hint="eastAsia" w:ascii="Times New Roman" w:hAnsi="Times New Roman" w:cs="Times New Roman"/>
          <w:b/>
          <w:color w:val="000000"/>
          <w:sz w:val="30"/>
          <w:szCs w:val="30"/>
          <w:highlight w:val="none"/>
        </w:rPr>
        <w:t>比选公告</w:t>
      </w:r>
    </w:p>
    <w:p w14:paraId="1B6F1049">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1．</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条件</w:t>
      </w:r>
      <w:r>
        <w:rPr>
          <w:rFonts w:ascii="Times New Roman" w:hAnsi="Times New Roman" w:cs="Times New Roman"/>
          <w:b/>
          <w:color w:val="000000"/>
          <w:sz w:val="28"/>
          <w:szCs w:val="28"/>
          <w:highlight w:val="none"/>
        </w:rPr>
        <w:tab/>
      </w:r>
    </w:p>
    <w:p w14:paraId="1AB723F1">
      <w:pPr>
        <w:keepNext w:val="0"/>
        <w:keepLines w:val="0"/>
        <w:widowControl/>
        <w:suppressLineNumbers w:val="0"/>
        <w:ind w:firstLine="420" w:firstLineChars="200"/>
        <w:jc w:val="left"/>
        <w:rPr>
          <w:rFonts w:hint="default" w:ascii="Calibri" w:hAnsi="Calibri" w:eastAsia="宋体" w:cs="Times New Roman"/>
          <w:b w:val="0"/>
          <w:bCs w:val="0"/>
          <w:color w:val="000000"/>
          <w:kern w:val="0"/>
          <w:sz w:val="21"/>
          <w:szCs w:val="21"/>
          <w:highlight w:val="none"/>
          <w:lang w:val="en-US" w:eastAsia="zh-CN" w:bidi="ar-SA"/>
        </w:rPr>
      </w:pPr>
      <w:r>
        <w:rPr>
          <w:rFonts w:hint="default" w:ascii="Calibri" w:hAnsi="Calibri" w:eastAsia="宋体" w:cs="Times New Roman"/>
          <w:b w:val="0"/>
          <w:bCs w:val="0"/>
          <w:color w:val="000000"/>
          <w:kern w:val="0"/>
          <w:sz w:val="21"/>
          <w:szCs w:val="21"/>
          <w:highlight w:val="none"/>
          <w:lang w:val="en-US" w:eastAsia="zh-CN" w:bidi="ar-SA"/>
        </w:rPr>
        <w:t>本项目</w:t>
      </w:r>
      <w:r>
        <w:rPr>
          <w:rFonts w:hint="eastAsia" w:ascii="Calibri" w:hAnsi="Calibri" w:eastAsia="宋体" w:cs="Times New Roman"/>
          <w:b w:val="0"/>
          <w:bCs w:val="0"/>
          <w:color w:val="000000"/>
          <w:kern w:val="0"/>
          <w:sz w:val="21"/>
          <w:szCs w:val="21"/>
          <w:highlight w:val="none"/>
          <w:u w:val="single"/>
          <w:lang w:val="en-US" w:eastAsia="zh-CN" w:bidi="ar-SA"/>
        </w:rPr>
        <w:t>G0615线久治至马尔康段高速公路刷经寺服务区充电站项目</w:t>
      </w:r>
      <w:r>
        <w:rPr>
          <w:rFonts w:hint="default" w:ascii="Calibri" w:hAnsi="Calibri" w:eastAsia="宋体" w:cs="Times New Roman"/>
          <w:b w:val="0"/>
          <w:bCs w:val="0"/>
          <w:color w:val="000000"/>
          <w:kern w:val="0"/>
          <w:sz w:val="21"/>
          <w:szCs w:val="21"/>
          <w:highlight w:val="none"/>
          <w:lang w:val="en-US" w:eastAsia="zh-CN" w:bidi="ar-SA"/>
        </w:rPr>
        <w:t>已</w:t>
      </w:r>
      <w:r>
        <w:rPr>
          <w:rFonts w:hint="eastAsia" w:ascii="Calibri" w:hAnsi="Calibri" w:eastAsia="宋体" w:cs="Times New Roman"/>
          <w:b w:val="0"/>
          <w:bCs w:val="0"/>
          <w:color w:val="000000"/>
          <w:kern w:val="0"/>
          <w:sz w:val="21"/>
          <w:szCs w:val="21"/>
          <w:highlight w:val="none"/>
          <w:lang w:val="en-US" w:eastAsia="zh-CN" w:bidi="ar-SA"/>
        </w:rPr>
        <w:t>由</w:t>
      </w:r>
      <w:r>
        <w:rPr>
          <w:rFonts w:hint="eastAsia" w:ascii="Calibri" w:hAnsi="Calibri" w:eastAsia="宋体" w:cs="Times New Roman"/>
          <w:b w:val="0"/>
          <w:bCs w:val="0"/>
          <w:color w:val="000000"/>
          <w:kern w:val="0"/>
          <w:sz w:val="21"/>
          <w:szCs w:val="21"/>
          <w:highlight w:val="none"/>
          <w:u w:val="single"/>
          <w:lang w:val="en-US" w:eastAsia="zh-CN" w:bidi="ar-SA"/>
        </w:rPr>
        <w:t>四川成渝高速公路股份有限公司</w:t>
      </w:r>
      <w:r>
        <w:rPr>
          <w:rFonts w:hint="eastAsia" w:ascii="Calibri" w:hAnsi="Calibri" w:eastAsia="宋体" w:cs="Times New Roman"/>
          <w:b w:val="0"/>
          <w:bCs w:val="0"/>
          <w:color w:val="000000"/>
          <w:kern w:val="0"/>
          <w:sz w:val="21"/>
          <w:szCs w:val="21"/>
          <w:highlight w:val="none"/>
          <w:lang w:val="en-US" w:eastAsia="zh-CN" w:bidi="ar-SA"/>
        </w:rPr>
        <w:t>以</w:t>
      </w:r>
      <w:r>
        <w:rPr>
          <w:rFonts w:hint="eastAsia" w:ascii="Calibri" w:hAnsi="Calibri" w:eastAsia="宋体" w:cs="Times New Roman"/>
          <w:b w:val="0"/>
          <w:bCs w:val="0"/>
          <w:color w:val="auto"/>
          <w:kern w:val="0"/>
          <w:sz w:val="21"/>
          <w:szCs w:val="21"/>
          <w:highlight w:val="none"/>
          <w:u w:val="single"/>
          <w:lang w:val="en-US" w:eastAsia="zh-CN" w:bidi="ar-SA"/>
        </w:rPr>
        <w:t>川成渝司发〔202</w:t>
      </w:r>
      <w:r>
        <w:rPr>
          <w:rFonts w:hint="eastAsia" w:cs="Times New Roman"/>
          <w:b w:val="0"/>
          <w:bCs w:val="0"/>
          <w:color w:val="auto"/>
          <w:kern w:val="0"/>
          <w:sz w:val="21"/>
          <w:szCs w:val="21"/>
          <w:highlight w:val="none"/>
          <w:u w:val="single"/>
          <w:lang w:val="en-US" w:eastAsia="zh-CN" w:bidi="ar-SA"/>
        </w:rPr>
        <w:t>5</w:t>
      </w:r>
      <w:r>
        <w:rPr>
          <w:rFonts w:hint="eastAsia" w:ascii="Calibri" w:hAnsi="Calibri" w:eastAsia="宋体" w:cs="Times New Roman"/>
          <w:b w:val="0"/>
          <w:bCs w:val="0"/>
          <w:color w:val="auto"/>
          <w:kern w:val="0"/>
          <w:sz w:val="21"/>
          <w:szCs w:val="21"/>
          <w:highlight w:val="none"/>
          <w:u w:val="single"/>
          <w:lang w:val="en-US" w:eastAsia="zh-CN" w:bidi="ar-SA"/>
        </w:rPr>
        <w:t>〕</w:t>
      </w:r>
      <w:r>
        <w:rPr>
          <w:rFonts w:hint="eastAsia" w:cs="Times New Roman"/>
          <w:b w:val="0"/>
          <w:bCs w:val="0"/>
          <w:color w:val="auto"/>
          <w:kern w:val="0"/>
          <w:sz w:val="21"/>
          <w:szCs w:val="21"/>
          <w:highlight w:val="none"/>
          <w:u w:val="single"/>
          <w:lang w:val="en-US" w:eastAsia="zh-CN" w:bidi="ar-SA"/>
        </w:rPr>
        <w:t>106</w:t>
      </w:r>
      <w:r>
        <w:rPr>
          <w:rFonts w:hint="eastAsia" w:ascii="Calibri" w:hAnsi="Calibri" w:eastAsia="宋体" w:cs="Times New Roman"/>
          <w:b w:val="0"/>
          <w:bCs w:val="0"/>
          <w:color w:val="auto"/>
          <w:kern w:val="0"/>
          <w:sz w:val="21"/>
          <w:szCs w:val="21"/>
          <w:highlight w:val="none"/>
          <w:u w:val="single"/>
          <w:lang w:val="en-US" w:eastAsia="zh-CN" w:bidi="ar-SA"/>
        </w:rPr>
        <w:t>号</w:t>
      </w:r>
      <w:r>
        <w:rPr>
          <w:rFonts w:hint="default" w:ascii="Calibri" w:hAnsi="Calibri" w:eastAsia="宋体" w:cs="Times New Roman"/>
          <w:b w:val="0"/>
          <w:bCs w:val="0"/>
          <w:color w:val="auto"/>
          <w:kern w:val="0"/>
          <w:sz w:val="21"/>
          <w:szCs w:val="21"/>
          <w:highlight w:val="none"/>
          <w:lang w:val="en-US" w:eastAsia="zh-CN" w:bidi="ar-SA"/>
        </w:rPr>
        <w:t>批</w:t>
      </w:r>
      <w:r>
        <w:rPr>
          <w:rFonts w:hint="default" w:ascii="Calibri" w:hAnsi="Calibri" w:eastAsia="宋体" w:cs="Times New Roman"/>
          <w:b w:val="0"/>
          <w:bCs w:val="0"/>
          <w:color w:val="000000"/>
          <w:kern w:val="0"/>
          <w:sz w:val="21"/>
          <w:szCs w:val="21"/>
          <w:highlight w:val="none"/>
          <w:lang w:val="en-US" w:eastAsia="zh-CN" w:bidi="ar-SA"/>
        </w:rPr>
        <w:t>准建设</w:t>
      </w:r>
      <w:r>
        <w:rPr>
          <w:rFonts w:hint="eastAsia" w:ascii="Calibri" w:hAnsi="Calibri" w:eastAsia="宋体" w:cs="Times New Roman"/>
          <w:b w:val="0"/>
          <w:bCs w:val="0"/>
          <w:color w:val="000000"/>
          <w:kern w:val="0"/>
          <w:sz w:val="21"/>
          <w:szCs w:val="21"/>
          <w:highlight w:val="none"/>
          <w:lang w:val="en-US" w:eastAsia="zh-CN" w:bidi="ar-SA"/>
        </w:rPr>
        <w:t>，已完成发改局备案，备案号</w:t>
      </w:r>
      <w:r>
        <w:rPr>
          <w:rFonts w:hint="eastAsia"/>
          <w:u w:val="single"/>
          <w:lang w:val="en-US" w:eastAsia="zh-CN"/>
        </w:rPr>
        <w:t>川投资</w:t>
      </w:r>
      <w:r>
        <w:rPr>
          <w:rFonts w:hint="eastAsia"/>
          <w:highlight w:val="none"/>
          <w:u w:val="single"/>
          <w:lang w:val="en-US" w:eastAsia="zh-CN"/>
        </w:rPr>
        <w:t>备【</w:t>
      </w:r>
      <w:r>
        <w:rPr>
          <w:rFonts w:hint="default"/>
          <w:highlight w:val="none"/>
          <w:u w:val="single"/>
          <w:lang w:val="en-US" w:eastAsia="zh-CN"/>
        </w:rPr>
        <w:t>2504-513233-04-01-327266</w:t>
      </w:r>
      <w:r>
        <w:rPr>
          <w:rFonts w:hint="eastAsia"/>
          <w:highlight w:val="none"/>
          <w:u w:val="single"/>
          <w:lang w:val="en-US" w:eastAsia="zh-CN"/>
        </w:rPr>
        <w:t>】</w:t>
      </w:r>
      <w:r>
        <w:rPr>
          <w:rFonts w:hint="default"/>
          <w:highlight w:val="none"/>
          <w:u w:val="single"/>
          <w:lang w:val="en-US" w:eastAsia="zh-CN"/>
        </w:rPr>
        <w:t>FGQB-0010</w:t>
      </w:r>
      <w:r>
        <w:rPr>
          <w:rFonts w:hint="eastAsia"/>
          <w:highlight w:val="none"/>
          <w:u w:val="single"/>
          <w:lang w:val="en-US" w:eastAsia="zh-CN"/>
        </w:rPr>
        <w:t>号</w:t>
      </w:r>
      <w:r>
        <w:rPr>
          <w:rFonts w:hint="eastAsia" w:cs="宋体"/>
          <w:highlight w:val="none"/>
          <w:u w:val="none"/>
          <w:lang w:val="en-US" w:eastAsia="zh-CN"/>
        </w:rPr>
        <w:t>，</w:t>
      </w:r>
      <w:r>
        <w:rPr>
          <w:rFonts w:hint="eastAsia" w:ascii="Calibri" w:hAnsi="Calibri" w:eastAsia="宋体" w:cs="Times New Roman"/>
          <w:b w:val="0"/>
          <w:bCs w:val="0"/>
          <w:color w:val="000000"/>
          <w:kern w:val="0"/>
          <w:sz w:val="21"/>
          <w:szCs w:val="21"/>
          <w:highlight w:val="none"/>
          <w:lang w:val="en-US" w:eastAsia="zh-CN" w:bidi="ar-SA"/>
        </w:rPr>
        <w:t>项目业主</w:t>
      </w:r>
      <w:r>
        <w:rPr>
          <w:rFonts w:hint="default" w:ascii="Calibri" w:hAnsi="Calibri" w:eastAsia="宋体" w:cs="Times New Roman"/>
          <w:b w:val="0"/>
          <w:bCs w:val="0"/>
          <w:color w:val="000000"/>
          <w:kern w:val="0"/>
          <w:sz w:val="21"/>
          <w:szCs w:val="21"/>
          <w:highlight w:val="none"/>
          <w:lang w:val="en-US" w:eastAsia="zh-CN" w:bidi="ar-SA"/>
        </w:rPr>
        <w:t>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，建设资金来自</w:t>
      </w:r>
      <w:r>
        <w:rPr>
          <w:rFonts w:hint="default" w:ascii="Calibri" w:hAnsi="Calibri" w:eastAsia="宋体" w:cs="Times New Roman"/>
          <w:b w:val="0"/>
          <w:bCs w:val="0"/>
          <w:color w:val="000000"/>
          <w:kern w:val="0"/>
          <w:sz w:val="21"/>
          <w:szCs w:val="21"/>
          <w:highlight w:val="none"/>
          <w:u w:val="single"/>
          <w:lang w:val="en-US" w:eastAsia="zh-CN" w:bidi="ar-SA"/>
        </w:rPr>
        <w:t>企业自筹</w:t>
      </w:r>
      <w:r>
        <w:rPr>
          <w:rFonts w:hint="default" w:ascii="Calibri" w:hAnsi="Calibri" w:eastAsia="宋体" w:cs="Times New Roman"/>
          <w:b w:val="0"/>
          <w:bCs w:val="0"/>
          <w:color w:val="000000"/>
          <w:kern w:val="0"/>
          <w:sz w:val="21"/>
          <w:szCs w:val="21"/>
          <w:highlight w:val="none"/>
          <w:lang w:val="en-US" w:eastAsia="zh-CN" w:bidi="ar-SA"/>
        </w:rPr>
        <w:t>，项目出资比例为</w:t>
      </w:r>
      <w:r>
        <w:rPr>
          <w:rFonts w:hint="default" w:ascii="Calibri" w:hAnsi="Calibri" w:eastAsia="宋体" w:cs="Times New Roman"/>
          <w:b w:val="0"/>
          <w:bCs w:val="0"/>
          <w:color w:val="000000"/>
          <w:kern w:val="0"/>
          <w:sz w:val="21"/>
          <w:szCs w:val="21"/>
          <w:highlight w:val="none"/>
          <w:u w:val="single"/>
          <w:lang w:val="en-US" w:eastAsia="zh-CN" w:bidi="ar-SA"/>
        </w:rPr>
        <w:t>100%</w:t>
      </w:r>
      <w:r>
        <w:rPr>
          <w:rFonts w:hint="default" w:ascii="Calibri" w:hAnsi="Calibri" w:eastAsia="宋体" w:cs="Times New Roman"/>
          <w:b w:val="0"/>
          <w:bCs w:val="0"/>
          <w:color w:val="000000"/>
          <w:kern w:val="0"/>
          <w:sz w:val="21"/>
          <w:szCs w:val="21"/>
          <w:highlight w:val="none"/>
          <w:lang w:val="en-US" w:eastAsia="zh-CN" w:bidi="ar-SA"/>
        </w:rPr>
        <w:t>，比选人为</w:t>
      </w:r>
      <w:r>
        <w:rPr>
          <w:rFonts w:hint="default" w:ascii="Calibri" w:hAnsi="Calibri" w:eastAsia="宋体" w:cs="Times New Roman"/>
          <w:b w:val="0"/>
          <w:bCs w:val="0"/>
          <w:color w:val="000000"/>
          <w:kern w:val="0"/>
          <w:sz w:val="21"/>
          <w:szCs w:val="21"/>
          <w:highlight w:val="none"/>
          <w:u w:val="single"/>
          <w:lang w:val="en-US" w:eastAsia="zh-CN" w:bidi="ar-SA"/>
        </w:rPr>
        <w:t>四川蜀道新能源科技发展有限公司</w:t>
      </w:r>
      <w:r>
        <w:rPr>
          <w:rFonts w:hint="default" w:ascii="Calibri" w:hAnsi="Calibri" w:eastAsia="宋体" w:cs="Times New Roman"/>
          <w:b w:val="0"/>
          <w:bCs w:val="0"/>
          <w:color w:val="000000"/>
          <w:kern w:val="0"/>
          <w:sz w:val="21"/>
          <w:szCs w:val="21"/>
          <w:highlight w:val="none"/>
          <w:lang w:val="en-US" w:eastAsia="zh-CN" w:bidi="ar-SA"/>
        </w:rPr>
        <w:t>。现已具备比选条件，现对</w:t>
      </w:r>
      <w:r>
        <w:rPr>
          <w:rFonts w:hint="eastAsia" w:ascii="Calibri" w:hAnsi="Calibri" w:eastAsia="宋体" w:cs="Times New Roman"/>
          <w:b w:val="0"/>
          <w:bCs w:val="0"/>
          <w:color w:val="000000"/>
          <w:kern w:val="0"/>
          <w:sz w:val="21"/>
          <w:szCs w:val="21"/>
          <w:highlight w:val="none"/>
          <w:lang w:val="en-US" w:eastAsia="zh-CN" w:bidi="ar-SA"/>
        </w:rPr>
        <w:t>该项目的施工</w:t>
      </w:r>
      <w:r>
        <w:rPr>
          <w:rFonts w:hint="default" w:ascii="Calibri" w:hAnsi="Calibri" w:eastAsia="宋体" w:cs="Times New Roman"/>
          <w:b w:val="0"/>
          <w:bCs w:val="0"/>
          <w:color w:val="000000"/>
          <w:kern w:val="0"/>
          <w:sz w:val="21"/>
          <w:szCs w:val="21"/>
          <w:highlight w:val="none"/>
          <w:lang w:val="en-US" w:eastAsia="zh-CN" w:bidi="ar-SA"/>
        </w:rPr>
        <w:t>进行公开比选，诚邀符合条件的潜在比选申请人参与。</w:t>
      </w:r>
    </w:p>
    <w:p w14:paraId="48A4D103">
      <w:pPr>
        <w:tabs>
          <w:tab w:val="left" w:pos="7140"/>
        </w:tabs>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2．项目概况与</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范围</w:t>
      </w:r>
    </w:p>
    <w:p w14:paraId="0E4921A8">
      <w:pPr>
        <w:autoSpaceDE w:val="0"/>
        <w:autoSpaceDN w:val="0"/>
        <w:adjustRightInd w:val="0"/>
        <w:spacing w:line="360" w:lineRule="auto"/>
        <w:ind w:right="-20" w:firstLine="420" w:firstLineChars="200"/>
        <w:jc w:val="both"/>
        <w:rPr>
          <w:rFonts w:hint="eastAsia" w:cs="Times New Roman"/>
          <w:b w:val="0"/>
          <w:bCs w:val="0"/>
          <w:color w:val="000000"/>
          <w:kern w:val="0"/>
          <w:sz w:val="21"/>
          <w:szCs w:val="21"/>
          <w:highlight w:val="none"/>
          <w:lang w:val="en-US" w:eastAsia="zh-CN" w:bidi="en-US"/>
        </w:rPr>
      </w:pPr>
      <w:r>
        <w:rPr>
          <w:rFonts w:ascii="Times New Roman" w:hAnsi="Times New Roman" w:cs="Times New Roman"/>
          <w:color w:val="000000"/>
          <w:kern w:val="0"/>
          <w:szCs w:val="21"/>
          <w:highlight w:val="none"/>
        </w:rPr>
        <w:t>2.1 项目名称：</w:t>
      </w:r>
      <w:r>
        <w:rPr>
          <w:rFonts w:hint="eastAsia" w:ascii="Calibri" w:hAnsi="Calibri" w:eastAsia="宋体" w:cs="Times New Roman"/>
          <w:b w:val="0"/>
          <w:bCs w:val="0"/>
          <w:color w:val="000000"/>
          <w:kern w:val="0"/>
          <w:sz w:val="21"/>
          <w:szCs w:val="21"/>
          <w:highlight w:val="none"/>
          <w:u w:val="single"/>
          <w:lang w:val="en-US" w:eastAsia="zh-CN" w:bidi="ar-SA"/>
        </w:rPr>
        <w:t>G0615线久治至马尔康段高速公路刷经寺服务区充电站项目</w:t>
      </w:r>
    </w:p>
    <w:p w14:paraId="6C8F601E">
      <w:pPr>
        <w:autoSpaceDE w:val="0"/>
        <w:autoSpaceDN w:val="0"/>
        <w:adjustRightInd w:val="0"/>
        <w:spacing w:line="360" w:lineRule="auto"/>
        <w:ind w:right="-20" w:firstLine="420" w:firstLineChars="200"/>
        <w:jc w:val="both"/>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kern w:val="0"/>
          <w:szCs w:val="21"/>
          <w:highlight w:val="none"/>
        </w:rPr>
        <w:t>2.2 建设地点：</w:t>
      </w:r>
      <w:r>
        <w:rPr>
          <w:rFonts w:hint="eastAsia" w:ascii="Calibri" w:hAnsi="Calibri" w:eastAsia="宋体" w:cs="Times New Roman"/>
          <w:b w:val="0"/>
          <w:bCs w:val="0"/>
          <w:color w:val="000000"/>
          <w:kern w:val="0"/>
          <w:sz w:val="21"/>
          <w:szCs w:val="21"/>
          <w:highlight w:val="none"/>
          <w:u w:val="single"/>
          <w:lang w:val="en-US" w:eastAsia="zh-CN" w:bidi="ar-SA"/>
        </w:rPr>
        <w:t>G0615线久治至马尔康段高速公路刷经寺服务区</w:t>
      </w:r>
      <w:r>
        <w:rPr>
          <w:rFonts w:hint="eastAsia" w:cs="Times New Roman"/>
          <w:b w:val="0"/>
          <w:bCs w:val="0"/>
          <w:color w:val="000000"/>
          <w:kern w:val="0"/>
          <w:sz w:val="21"/>
          <w:szCs w:val="21"/>
          <w:highlight w:val="none"/>
          <w:u w:val="single"/>
          <w:lang w:val="en-US" w:eastAsia="zh-CN" w:bidi="ar-SA"/>
        </w:rPr>
        <w:t>（双侧）</w:t>
      </w:r>
    </w:p>
    <w:p w14:paraId="58F39104">
      <w:pPr>
        <w:spacing w:line="360" w:lineRule="auto"/>
        <w:ind w:right="0" w:firstLine="420" w:firstLineChars="200"/>
        <w:jc w:val="both"/>
        <w:rPr>
          <w:rFonts w:hint="default" w:ascii="Times New Roman" w:hAnsi="Times New Roman" w:eastAsia="宋体" w:cs="Times New Roman"/>
          <w:color w:val="000000"/>
          <w:kern w:val="0"/>
          <w:szCs w:val="21"/>
          <w:highlight w:val="none"/>
          <w:lang w:val="en-US" w:eastAsia="zh-CN"/>
        </w:rPr>
      </w:pPr>
      <w:r>
        <w:rPr>
          <w:rFonts w:ascii="Times New Roman" w:hAnsi="Times New Roman" w:cs="Times New Roman"/>
          <w:color w:val="000000"/>
          <w:kern w:val="0"/>
          <w:szCs w:val="21"/>
          <w:highlight w:val="none"/>
        </w:rPr>
        <w:t>2.3 项目规模：</w:t>
      </w:r>
      <w:r>
        <w:rPr>
          <w:rFonts w:hint="eastAsia" w:ascii="Times New Roman" w:hAnsi="Times New Roman" w:cs="Times New Roman"/>
          <w:color w:val="000000"/>
          <w:kern w:val="0"/>
          <w:szCs w:val="21"/>
          <w:highlight w:val="none"/>
          <w:lang w:val="en-US" w:eastAsia="zh-CN"/>
        </w:rPr>
        <w:t>拟在刷经寺服务区双侧充电站新建</w:t>
      </w:r>
      <w:r>
        <w:rPr>
          <w:rFonts w:hint="eastAsia" w:ascii="Times New Roman" w:hAnsi="Times New Roman" w:eastAsia="宋体" w:cs="Times New Roman"/>
          <w:color w:val="000000"/>
          <w:kern w:val="0"/>
          <w:szCs w:val="21"/>
          <w:highlight w:val="none"/>
          <w:lang w:val="en-US" w:eastAsia="zh-CN"/>
        </w:rPr>
        <w:t>成套</w:t>
      </w:r>
      <w:r>
        <w:rPr>
          <w:rFonts w:hint="default" w:ascii="Times New Roman" w:hAnsi="Times New Roman" w:eastAsia="宋体" w:cs="Times New Roman"/>
          <w:color w:val="000000"/>
          <w:kern w:val="0"/>
          <w:szCs w:val="21"/>
          <w:highlight w:val="none"/>
          <w:lang w:val="en-US" w:eastAsia="zh-CN"/>
        </w:rPr>
        <w:t>箱式变压器</w:t>
      </w:r>
      <w:r>
        <w:rPr>
          <w:rFonts w:hint="eastAsia" w:ascii="Times New Roman" w:hAnsi="Times New Roman" w:cs="Times New Roman"/>
          <w:color w:val="000000"/>
          <w:kern w:val="0"/>
          <w:szCs w:val="21"/>
          <w:highlight w:val="none"/>
          <w:lang w:val="en-US" w:eastAsia="zh-CN"/>
        </w:rPr>
        <w:t>、新建架空线、</w:t>
      </w:r>
      <w:r>
        <w:rPr>
          <w:rFonts w:hint="eastAsia" w:cs="Times New Roman"/>
          <w:b w:val="0"/>
          <w:bCs w:val="0"/>
          <w:color w:val="000000"/>
          <w:kern w:val="0"/>
          <w:sz w:val="21"/>
          <w:szCs w:val="21"/>
          <w:highlight w:val="none"/>
          <w:lang w:val="en-US" w:eastAsia="zh-CN" w:bidi="ar-SA"/>
        </w:rPr>
        <w:t>新敷设高低压电缆、</w:t>
      </w:r>
      <w:r>
        <w:rPr>
          <w:rFonts w:hint="eastAsia" w:ascii="Calibri" w:hAnsi="Calibri" w:eastAsia="宋体" w:cs="Times New Roman"/>
          <w:b w:val="0"/>
          <w:bCs w:val="0"/>
          <w:color w:val="000000"/>
          <w:kern w:val="0"/>
          <w:sz w:val="21"/>
          <w:szCs w:val="21"/>
          <w:highlight w:val="none"/>
          <w:u w:val="none"/>
          <w:lang w:val="en-US" w:eastAsia="zh-CN" w:bidi="ar-SA"/>
        </w:rPr>
        <w:t>新建低压柜</w:t>
      </w:r>
      <w:r>
        <w:rPr>
          <w:rFonts w:hint="eastAsia" w:cs="Times New Roman"/>
          <w:b w:val="0"/>
          <w:bCs w:val="0"/>
          <w:color w:val="000000"/>
          <w:kern w:val="0"/>
          <w:sz w:val="21"/>
          <w:szCs w:val="21"/>
          <w:highlight w:val="none"/>
          <w:u w:val="none"/>
          <w:lang w:val="en-US" w:eastAsia="zh-CN" w:bidi="ar-SA"/>
        </w:rPr>
        <w:t>；新建箱变</w:t>
      </w:r>
      <w:r>
        <w:rPr>
          <w:rFonts w:hint="default" w:ascii="Calibri" w:hAnsi="Calibri" w:eastAsia="宋体" w:cs="Times New Roman"/>
          <w:b w:val="0"/>
          <w:bCs w:val="0"/>
          <w:color w:val="000000"/>
          <w:kern w:val="0"/>
          <w:sz w:val="21"/>
          <w:szCs w:val="21"/>
          <w:highlight w:val="none"/>
          <w:u w:val="none"/>
          <w:lang w:val="en-US" w:eastAsia="zh-CN" w:bidi="ar-SA"/>
        </w:rPr>
        <w:t>基础</w:t>
      </w:r>
      <w:r>
        <w:rPr>
          <w:rFonts w:hint="eastAsia" w:cs="Times New Roman"/>
          <w:b w:val="0"/>
          <w:bCs w:val="0"/>
          <w:color w:val="000000"/>
          <w:kern w:val="0"/>
          <w:sz w:val="21"/>
          <w:szCs w:val="21"/>
          <w:highlight w:val="none"/>
          <w:u w:val="none"/>
          <w:lang w:val="en-US" w:eastAsia="zh-CN" w:bidi="ar-SA"/>
        </w:rPr>
        <w:t>、电缆直埋通道、电缆排管通道、电缆井；</w:t>
      </w:r>
      <w:r>
        <w:rPr>
          <w:rFonts w:hint="default" w:ascii="Calibri" w:hAnsi="Calibri" w:eastAsia="宋体" w:cs="Times New Roman"/>
          <w:b w:val="0"/>
          <w:bCs w:val="0"/>
          <w:color w:val="000000"/>
          <w:kern w:val="0"/>
          <w:sz w:val="21"/>
          <w:szCs w:val="21"/>
          <w:highlight w:val="none"/>
          <w:lang w:val="en-US" w:eastAsia="zh-CN" w:bidi="ar-SA"/>
        </w:rPr>
        <w:t>安装监控系统、</w:t>
      </w:r>
      <w:r>
        <w:rPr>
          <w:rFonts w:hint="eastAsia" w:cs="Times New Roman"/>
          <w:b w:val="0"/>
          <w:bCs w:val="0"/>
          <w:color w:val="000000"/>
          <w:kern w:val="0"/>
          <w:sz w:val="21"/>
          <w:szCs w:val="21"/>
          <w:highlight w:val="none"/>
          <w:lang w:val="en-US" w:eastAsia="zh-CN" w:bidi="ar-SA"/>
        </w:rPr>
        <w:t>雨棚</w:t>
      </w:r>
      <w:r>
        <w:rPr>
          <w:rFonts w:hint="default" w:ascii="Calibri" w:hAnsi="Calibri" w:eastAsia="宋体" w:cs="Times New Roman"/>
          <w:b w:val="0"/>
          <w:bCs w:val="0"/>
          <w:color w:val="000000"/>
          <w:kern w:val="0"/>
          <w:sz w:val="21"/>
          <w:szCs w:val="21"/>
          <w:highlight w:val="none"/>
          <w:lang w:val="en-US" w:eastAsia="zh-CN" w:bidi="ar-SA"/>
        </w:rPr>
        <w:t>、标志标牌等相关设施。</w:t>
      </w:r>
      <w:r>
        <w:rPr>
          <w:rFonts w:hint="eastAsia" w:cs="Times New Roman"/>
          <w:b w:val="0"/>
          <w:bCs w:val="0"/>
          <w:color w:val="000000"/>
          <w:kern w:val="0"/>
          <w:sz w:val="21"/>
          <w:szCs w:val="21"/>
          <w:highlight w:val="none"/>
          <w:lang w:val="en-US" w:eastAsia="zh-CN" w:bidi="ar-SA"/>
        </w:rPr>
        <w:t>充电站拟配置2台1250KVA箱式变压器、快充</w:t>
      </w:r>
      <w:r>
        <w:rPr>
          <w:rFonts w:hint="default" w:ascii="Calibri" w:hAnsi="Calibri" w:eastAsia="宋体" w:cs="Times New Roman"/>
          <w:b w:val="0"/>
          <w:bCs w:val="0"/>
          <w:color w:val="000000"/>
          <w:kern w:val="0"/>
          <w:sz w:val="21"/>
          <w:szCs w:val="21"/>
          <w:highlight w:val="none"/>
          <w:lang w:val="en-US" w:eastAsia="zh-CN" w:bidi="ar-SA"/>
        </w:rPr>
        <w:t>终端</w:t>
      </w:r>
      <w:r>
        <w:rPr>
          <w:rFonts w:hint="eastAsia" w:eastAsia="宋体" w:cs="Times New Roman"/>
          <w:b w:val="0"/>
          <w:bCs w:val="0"/>
          <w:color w:val="000000"/>
          <w:kern w:val="0"/>
          <w:sz w:val="21"/>
          <w:szCs w:val="21"/>
          <w:highlight w:val="none"/>
          <w:lang w:val="en-US" w:eastAsia="zh-CN" w:bidi="ar-SA"/>
        </w:rPr>
        <w:t>2</w:t>
      </w:r>
      <w:r>
        <w:rPr>
          <w:rFonts w:hint="default" w:ascii="Calibri" w:hAnsi="Calibri" w:eastAsia="宋体" w:cs="Times New Roman"/>
          <w:b w:val="0"/>
          <w:bCs w:val="0"/>
          <w:color w:val="000000"/>
          <w:kern w:val="0"/>
          <w:sz w:val="21"/>
          <w:szCs w:val="21"/>
          <w:highlight w:val="none"/>
          <w:lang w:val="en-US" w:eastAsia="zh-CN" w:bidi="ar-SA"/>
        </w:rPr>
        <w:t>台</w:t>
      </w:r>
      <w:r>
        <w:rPr>
          <w:rFonts w:hint="eastAsia" w:eastAsia="宋体" w:cs="Times New Roman"/>
          <w:b w:val="0"/>
          <w:bCs w:val="0"/>
          <w:color w:val="000000"/>
          <w:kern w:val="0"/>
          <w:sz w:val="21"/>
          <w:szCs w:val="21"/>
          <w:highlight w:val="none"/>
          <w:lang w:val="en-US" w:eastAsia="zh-CN" w:bidi="ar-SA"/>
        </w:rPr>
        <w:t>（单桩双枪）。</w:t>
      </w:r>
    </w:p>
    <w:p w14:paraId="4979EA7F">
      <w:pPr>
        <w:numPr>
          <w:ilvl w:val="0"/>
          <w:numId w:val="0"/>
        </w:numPr>
        <w:spacing w:line="360" w:lineRule="auto"/>
        <w:ind w:right="0" w:firstLine="420" w:firstLineChars="200"/>
        <w:jc w:val="left"/>
        <w:rPr>
          <w:rFonts w:hint="eastAsia" w:cs="Times New Roman"/>
          <w:color w:val="000000"/>
          <w:kern w:val="0"/>
          <w:szCs w:val="21"/>
          <w:highlight w:val="none"/>
          <w:lang w:eastAsia="zh-CN"/>
        </w:rPr>
      </w:pPr>
      <w:r>
        <w:rPr>
          <w:rFonts w:cs="Times New Roman"/>
          <w:color w:val="000000"/>
          <w:kern w:val="0"/>
          <w:szCs w:val="21"/>
          <w:highlight w:val="none"/>
        </w:rPr>
        <w:t>2.4 比选范围</w:t>
      </w:r>
      <w:r>
        <w:rPr>
          <w:rFonts w:hint="eastAsia" w:cs="Times New Roman"/>
          <w:color w:val="000000"/>
          <w:kern w:val="0"/>
          <w:szCs w:val="21"/>
          <w:highlight w:val="none"/>
          <w:lang w:eastAsia="zh-CN"/>
        </w:rPr>
        <w:t>：</w:t>
      </w:r>
      <w:r>
        <w:rPr>
          <w:rFonts w:hint="eastAsia" w:cs="Times New Roman"/>
          <w:color w:val="000000"/>
          <w:kern w:val="0"/>
          <w:szCs w:val="21"/>
          <w:highlight w:val="none"/>
        </w:rPr>
        <w:t>设计施工图纸及工程量清单所示以及与本项目相关的全部施工范围</w:t>
      </w:r>
      <w:r>
        <w:rPr>
          <w:rFonts w:hint="default" w:cs="Times New Roman"/>
          <w:color w:val="000000"/>
          <w:kern w:val="0"/>
          <w:szCs w:val="21"/>
          <w:highlight w:val="none"/>
          <w:lang w:val="en-US" w:eastAsia="zh-CN"/>
        </w:rPr>
        <w:t>（充电设备采购</w:t>
      </w:r>
      <w:r>
        <w:rPr>
          <w:rFonts w:hint="eastAsia" w:cs="Times New Roman"/>
          <w:color w:val="000000"/>
          <w:kern w:val="0"/>
          <w:szCs w:val="21"/>
          <w:highlight w:val="none"/>
          <w:lang w:val="en-US" w:eastAsia="zh-CN"/>
        </w:rPr>
        <w:t>、</w:t>
      </w:r>
      <w:r>
        <w:rPr>
          <w:rFonts w:hint="default" w:cs="Times New Roman"/>
          <w:color w:val="000000"/>
          <w:kern w:val="0"/>
          <w:szCs w:val="21"/>
          <w:highlight w:val="none"/>
          <w:lang w:val="en-US" w:eastAsia="zh-CN"/>
        </w:rPr>
        <w:t>定制化大模型枪机</w:t>
      </w:r>
      <w:r>
        <w:rPr>
          <w:rFonts w:hint="eastAsia" w:cs="Times New Roman"/>
          <w:color w:val="000000"/>
          <w:kern w:val="0"/>
          <w:szCs w:val="21"/>
          <w:highlight w:val="none"/>
          <w:lang w:val="en-US" w:eastAsia="zh-CN"/>
        </w:rPr>
        <w:t>及</w:t>
      </w:r>
      <w:r>
        <w:rPr>
          <w:rFonts w:hint="default" w:cs="Times New Roman"/>
          <w:color w:val="000000"/>
          <w:kern w:val="0"/>
          <w:szCs w:val="21"/>
          <w:highlight w:val="none"/>
          <w:lang w:val="en-US" w:eastAsia="zh-CN"/>
        </w:rPr>
        <w:t>室外球形摄像头除外）</w:t>
      </w:r>
      <w:r>
        <w:rPr>
          <w:rFonts w:hint="eastAsia" w:cs="Times New Roman"/>
          <w:color w:val="000000"/>
          <w:kern w:val="0"/>
          <w:szCs w:val="21"/>
          <w:highlight w:val="none"/>
        </w:rPr>
        <w:t>。</w:t>
      </w:r>
    </w:p>
    <w:p w14:paraId="2FEAC1EF">
      <w:pPr>
        <w:spacing w:line="360" w:lineRule="auto"/>
        <w:ind w:right="-20" w:firstLine="420" w:firstLineChars="200"/>
        <w:jc w:val="both"/>
        <w:rPr>
          <w:rFonts w:ascii="Times New Roman" w:hAnsi="Times New Roman" w:cs="Times New Roman"/>
          <w:color w:val="000000"/>
          <w:kern w:val="0"/>
          <w:szCs w:val="21"/>
          <w:highlight w:val="none"/>
        </w:rPr>
      </w:pPr>
      <w:r>
        <w:rPr>
          <w:rFonts w:cs="Times New Roman"/>
          <w:color w:val="000000"/>
          <w:kern w:val="0"/>
          <w:szCs w:val="21"/>
          <w:highlight w:val="none"/>
        </w:rPr>
        <w:t>2.5 计划工期：</w:t>
      </w:r>
      <w:r>
        <w:rPr>
          <w:rFonts w:hint="default" w:ascii="Calibri" w:hAnsi="Calibri" w:cs="Times New Roman"/>
          <w:i w:val="0"/>
          <w:iCs w:val="0"/>
          <w:caps w:val="0"/>
          <w:color w:val="000000"/>
          <w:spacing w:val="0"/>
          <w:kern w:val="0"/>
          <w:sz w:val="21"/>
          <w:szCs w:val="21"/>
          <w:highlight w:val="none"/>
          <w:lang w:val="en-US" w:eastAsia="zh-CN"/>
        </w:rPr>
        <w:t>自开工通知发出之日起</w:t>
      </w:r>
      <w:r>
        <w:rPr>
          <w:rFonts w:hint="eastAsia" w:cs="Times New Roman"/>
          <w:i w:val="0"/>
          <w:iCs w:val="0"/>
          <w:caps w:val="0"/>
          <w:color w:val="000000"/>
          <w:spacing w:val="0"/>
          <w:kern w:val="0"/>
          <w:sz w:val="21"/>
          <w:szCs w:val="21"/>
          <w:highlight w:val="none"/>
          <w:lang w:val="en-US" w:eastAsia="zh-CN"/>
        </w:rPr>
        <w:t>60</w:t>
      </w:r>
      <w:r>
        <w:rPr>
          <w:rFonts w:hint="default" w:ascii="Calibri" w:hAnsi="Calibri" w:cs="Times New Roman"/>
          <w:i w:val="0"/>
          <w:iCs w:val="0"/>
          <w:caps w:val="0"/>
          <w:color w:val="000000"/>
          <w:spacing w:val="0"/>
          <w:kern w:val="0"/>
          <w:sz w:val="21"/>
          <w:szCs w:val="21"/>
          <w:highlight w:val="none"/>
          <w:lang w:val="en-US" w:eastAsia="zh-CN"/>
        </w:rPr>
        <w:t>日历天</w:t>
      </w:r>
      <w:r>
        <w:rPr>
          <w:rFonts w:hint="eastAsia" w:cs="Times New Roman"/>
          <w:i w:val="0"/>
          <w:iCs w:val="0"/>
          <w:caps w:val="0"/>
          <w:color w:val="000000"/>
          <w:spacing w:val="0"/>
          <w:kern w:val="0"/>
          <w:sz w:val="21"/>
          <w:szCs w:val="21"/>
          <w:highlight w:val="none"/>
          <w:lang w:val="en-US" w:eastAsia="zh-CN"/>
        </w:rPr>
        <w:t>完成</w:t>
      </w:r>
      <w:r>
        <w:rPr>
          <w:rFonts w:ascii="Calibri" w:hAnsi="Calibri" w:cs="Times New Roman"/>
          <w:color w:val="000000"/>
          <w:kern w:val="0"/>
          <w:sz w:val="21"/>
          <w:szCs w:val="21"/>
          <w:highlight w:val="none"/>
        </w:rPr>
        <w:t>比选范围全部内容并验收合格</w:t>
      </w:r>
      <w:r>
        <w:rPr>
          <w:rFonts w:hint="default" w:ascii="Calibri" w:hAnsi="Calibri" w:cs="Times New Roman"/>
          <w:i w:val="0"/>
          <w:iCs w:val="0"/>
          <w:caps w:val="0"/>
          <w:color w:val="000000"/>
          <w:spacing w:val="0"/>
          <w:kern w:val="0"/>
          <w:sz w:val="21"/>
          <w:szCs w:val="21"/>
          <w:highlight w:val="none"/>
          <w:lang w:val="en-US" w:eastAsia="zh-CN"/>
        </w:rPr>
        <w:t>，缺陷责任期为24个月。</w:t>
      </w:r>
    </w:p>
    <w:p w14:paraId="43967E9E">
      <w:pPr>
        <w:autoSpaceDE w:val="0"/>
        <w:autoSpaceDN w:val="0"/>
        <w:adjustRightInd w:val="0"/>
        <w:spacing w:line="360" w:lineRule="auto"/>
        <w:ind w:right="-20" w:firstLine="420" w:firstLineChars="200"/>
        <w:jc w:val="both"/>
        <w:rPr>
          <w:rFonts w:hint="eastAsia" w:ascii="Calibri" w:hAnsi="Calibri" w:eastAsia="宋体" w:cs="宋体"/>
          <w:szCs w:val="22"/>
          <w:highlight w:val="none"/>
        </w:rPr>
      </w:pPr>
      <w:r>
        <w:rPr>
          <w:rFonts w:ascii="Times New Roman" w:hAnsi="Times New Roman" w:cs="Times New Roman"/>
          <w:color w:val="000000"/>
          <w:kern w:val="0"/>
          <w:szCs w:val="21"/>
          <w:highlight w:val="none"/>
        </w:rPr>
        <w:t>2.6 质量标准：</w:t>
      </w:r>
      <w:r>
        <w:rPr>
          <w:rFonts w:hint="eastAsia"/>
          <w:highlight w:val="none"/>
        </w:rPr>
        <w:t>符合国家、省相关技术标准、设计规范和管理要求，严格执行《电动汽车充换电设施建设技术导则》 (NB/</w:t>
      </w:r>
      <w:r>
        <w:rPr>
          <w:rFonts w:hint="eastAsia"/>
          <w:highlight w:val="none"/>
          <w:lang w:eastAsia="zh-CN"/>
        </w:rPr>
        <w:t>T 33009-2021</w:t>
      </w:r>
      <w:r>
        <w:rPr>
          <w:rFonts w:hint="eastAsia"/>
          <w:highlight w:val="none"/>
        </w:rPr>
        <w:t>) 、《电动汽车充换电设施供电系统技术规范》 (NB/T 33018-2015) 等标准的规定</w:t>
      </w:r>
      <w:r>
        <w:rPr>
          <w:rFonts w:hint="eastAsia"/>
          <w:highlight w:val="none"/>
          <w:lang w:eastAsia="zh-CN"/>
        </w:rPr>
        <w:t>；</w:t>
      </w:r>
      <w:r>
        <w:rPr>
          <w:rFonts w:hint="eastAsia"/>
          <w:highlight w:val="none"/>
        </w:rPr>
        <w:t>符合充电基础设施专项规划、消防安全、安全生产“三同时”等有关要求</w:t>
      </w:r>
      <w:r>
        <w:rPr>
          <w:rFonts w:hint="eastAsia"/>
          <w:highlight w:val="none"/>
          <w:lang w:eastAsia="zh-CN"/>
        </w:rPr>
        <w:t>；</w:t>
      </w:r>
      <w:r>
        <w:rPr>
          <w:rFonts w:ascii="Times New Roman" w:hAnsi="Times New Roman" w:cs="Times New Roman"/>
          <w:color w:val="000000"/>
          <w:szCs w:val="21"/>
          <w:highlight w:val="none"/>
        </w:rPr>
        <w:t>符合</w:t>
      </w:r>
      <w:r>
        <w:rPr>
          <w:rFonts w:hint="default" w:ascii="Times New Roman" w:hAnsi="Times New Roman" w:eastAsia="宋体" w:cs="Times New Roman"/>
          <w:color w:val="000000"/>
          <w:kern w:val="0"/>
          <w:szCs w:val="21"/>
          <w:highlight w:val="none"/>
        </w:rPr>
        <w:t>《电气装置安装工程</w:t>
      </w:r>
      <w:r>
        <w:rPr>
          <w:rFonts w:hint="default" w:ascii="Times New Roman" w:hAnsi="Times New Roman" w:eastAsia="宋体" w:cs="Times New Roman"/>
          <w:color w:val="000000"/>
          <w:kern w:val="0"/>
          <w:szCs w:val="21"/>
          <w:highlight w:val="none"/>
          <w:lang w:val="en-US" w:eastAsia="zh-CN"/>
        </w:rPr>
        <w:t>66K</w:t>
      </w:r>
      <w:r>
        <w:rPr>
          <w:rFonts w:hint="default" w:ascii="Times New Roman" w:hAnsi="Times New Roman" w:eastAsia="宋体" w:cs="Times New Roman"/>
          <w:color w:val="000000"/>
          <w:kern w:val="0"/>
          <w:szCs w:val="21"/>
          <w:highlight w:val="none"/>
        </w:rPr>
        <w:t>V及以下架空电力线路施工及验收规范</w:t>
      </w:r>
      <w:r>
        <w:rPr>
          <w:rFonts w:hint="default" w:ascii="Times New Roman" w:hAnsi="Times New Roman" w:eastAsia="宋体" w:cs="Times New Roman"/>
          <w:color w:val="000000"/>
          <w:kern w:val="0"/>
          <w:szCs w:val="21"/>
          <w:highlight w:val="none"/>
          <w:lang w:eastAsia="zh-CN"/>
        </w:rPr>
        <w:t>》</w:t>
      </w:r>
      <w:r>
        <w:rPr>
          <w:rFonts w:hint="default" w:ascii="Times New Roman" w:hAnsi="Times New Roman" w:eastAsia="宋体" w:cs="Times New Roman"/>
          <w:color w:val="000000"/>
          <w:kern w:val="0"/>
          <w:szCs w:val="21"/>
          <w:highlight w:val="none"/>
        </w:rPr>
        <w:t>(GB50173-2014)</w:t>
      </w:r>
      <w:r>
        <w:rPr>
          <w:rFonts w:hint="eastAsia" w:ascii="Times New Roman" w:hAnsi="Times New Roman" w:cs="Times New Roman"/>
          <w:color w:val="000000"/>
          <w:kern w:val="0"/>
          <w:szCs w:val="21"/>
          <w:highlight w:val="none"/>
          <w:lang w:eastAsia="zh-CN"/>
        </w:rPr>
        <w:t>、</w:t>
      </w:r>
      <w:r>
        <w:rPr>
          <w:rFonts w:hint="eastAsia"/>
          <w:highlight w:val="none"/>
        </w:rPr>
        <w:t>《电动汽车充换电设施工程施工和竣工验收规范》(NB/下 33004-2020)、《建筑电气工程施工质量验</w:t>
      </w:r>
      <w:r>
        <w:rPr>
          <w:rFonts w:hint="eastAsia" w:eastAsia="宋体" w:cs="宋体"/>
          <w:highlight w:val="none"/>
        </w:rPr>
        <w:t>收规范》 (CB 50303) 等标准要求</w:t>
      </w:r>
      <w:r>
        <w:rPr>
          <w:rFonts w:hint="eastAsia" w:ascii="Calibri" w:hAnsi="Calibri" w:eastAsia="宋体" w:cs="宋体"/>
          <w:szCs w:val="22"/>
          <w:highlight w:val="none"/>
        </w:rPr>
        <w:t>，以及其它与本项目相关的行业现行质量验收标准，</w:t>
      </w:r>
      <w:r>
        <w:rPr>
          <w:rFonts w:hint="eastAsia" w:ascii="Calibri" w:hAnsi="Calibri" w:eastAsia="宋体" w:cs="宋体"/>
          <w:kern w:val="2"/>
          <w:szCs w:val="22"/>
          <w:highlight w:val="none"/>
        </w:rPr>
        <w:t>工程质量等级合格</w:t>
      </w:r>
      <w:r>
        <w:rPr>
          <w:rFonts w:hint="eastAsia" w:ascii="Calibri" w:hAnsi="Calibri" w:eastAsia="宋体" w:cs="宋体"/>
          <w:szCs w:val="22"/>
          <w:highlight w:val="none"/>
        </w:rPr>
        <w:t>。</w:t>
      </w:r>
    </w:p>
    <w:p w14:paraId="014B25E6">
      <w:pPr>
        <w:spacing w:line="360" w:lineRule="auto"/>
        <w:ind w:right="-20" w:firstLine="420" w:firstLineChars="200"/>
        <w:jc w:val="both"/>
        <w:rPr>
          <w:rFonts w:hint="eastAsia" w:cs="Times New Roman"/>
          <w:color w:val="000000"/>
          <w:kern w:val="0"/>
          <w:szCs w:val="21"/>
          <w:highlight w:val="none"/>
          <w:lang w:val="en-US" w:eastAsia="zh-CN"/>
        </w:rPr>
      </w:pPr>
      <w:r>
        <w:rPr>
          <w:rFonts w:hint="eastAsia" w:cs="Times New Roman"/>
          <w:color w:val="000000"/>
          <w:kern w:val="0"/>
          <w:szCs w:val="21"/>
          <w:highlight w:val="none"/>
          <w:lang w:val="en-US" w:eastAsia="zh-CN"/>
        </w:rPr>
        <w:t>2.7主要工作内容</w:t>
      </w:r>
    </w:p>
    <w:p w14:paraId="605081C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（1）包括但不限于新建低压配电箱、电力电缆、保护管、雨棚及相关附属设施施工</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监控</w:t>
      </w:r>
      <w:r>
        <w:rPr>
          <w:rFonts w:hint="default" w:ascii="Calibri" w:hAnsi="Calibri" w:eastAsia="宋体"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不含</w:t>
      </w:r>
      <w:r>
        <w:rPr>
          <w:rFonts w:hint="default" w:ascii="Calibri" w:hAnsi="Calibri" w:eastAsia="宋体" w:cs="Times New Roman"/>
          <w:b w:val="0"/>
          <w:bCs w:val="0"/>
          <w:color w:val="000000"/>
          <w:kern w:val="0"/>
          <w:sz w:val="21"/>
          <w:szCs w:val="21"/>
          <w:highlight w:val="none"/>
          <w:lang w:val="en-US" w:eastAsia="zh-CN" w:bidi="ar-SA"/>
        </w:rPr>
        <w:t>定制化大模型枪机</w:t>
      </w:r>
      <w:r>
        <w:rPr>
          <w:rFonts w:hint="eastAsia" w:ascii="Calibri" w:hAnsi="Calibri" w:eastAsia="宋体" w:cs="Times New Roman"/>
          <w:b w:val="0"/>
          <w:bCs w:val="0"/>
          <w:color w:val="000000"/>
          <w:kern w:val="0"/>
          <w:sz w:val="21"/>
          <w:szCs w:val="21"/>
          <w:highlight w:val="none"/>
          <w:lang w:val="en-US" w:eastAsia="zh-CN" w:bidi="ar-SA"/>
        </w:rPr>
        <w:t>及</w:t>
      </w:r>
      <w:r>
        <w:rPr>
          <w:rFonts w:hint="default" w:ascii="Calibri" w:hAnsi="Calibri" w:eastAsia="宋体" w:cs="Times New Roman"/>
          <w:b w:val="0"/>
          <w:bCs w:val="0"/>
          <w:color w:val="000000"/>
          <w:kern w:val="0"/>
          <w:sz w:val="21"/>
          <w:szCs w:val="21"/>
          <w:highlight w:val="none"/>
          <w:lang w:val="en-US" w:eastAsia="zh-CN" w:bidi="ar-SA"/>
        </w:rPr>
        <w:t>室外球形摄像头）</w:t>
      </w:r>
      <w:r>
        <w:rPr>
          <w:rFonts w:hint="eastAsia" w:ascii="Calibri" w:hAnsi="Calibri" w:eastAsia="宋体" w:cs="Times New Roman"/>
          <w:b w:val="0"/>
          <w:bCs w:val="0"/>
          <w:color w:val="000000"/>
          <w:kern w:val="0"/>
          <w:sz w:val="21"/>
          <w:szCs w:val="21"/>
          <w:highlight w:val="none"/>
          <w:lang w:val="en-US" w:eastAsia="zh-CN" w:bidi="ar-SA"/>
        </w:rPr>
        <w:t>、消防、标识标牌等配套设施</w:t>
      </w:r>
      <w:r>
        <w:rPr>
          <w:rFonts w:hint="eastAsia" w:cs="Times New Roman"/>
          <w:b w:val="0"/>
          <w:bCs w:val="0"/>
          <w:color w:val="000000"/>
          <w:kern w:val="0"/>
          <w:sz w:val="21"/>
          <w:szCs w:val="21"/>
          <w:highlight w:val="none"/>
          <w:lang w:val="en-US" w:eastAsia="zh-CN" w:bidi="ar-SA"/>
        </w:rPr>
        <w:t>；</w:t>
      </w:r>
      <w:r>
        <w:rPr>
          <w:rFonts w:hint="eastAsia" w:ascii="Calibri" w:hAnsi="Calibri" w:eastAsia="宋体" w:cs="Times New Roman"/>
          <w:b w:val="0"/>
          <w:bCs w:val="0"/>
          <w:color w:val="000000"/>
          <w:kern w:val="0"/>
          <w:sz w:val="21"/>
          <w:szCs w:val="21"/>
          <w:highlight w:val="none"/>
          <w:lang w:val="en-US" w:eastAsia="zh-CN" w:bidi="ar-SA"/>
        </w:rPr>
        <w:t>电气调试、报验（供电局）等以及为保证充电站按期建设和投营使用所需一切设施设备建设及手续办理、协调、后续服务等。</w:t>
      </w:r>
    </w:p>
    <w:p w14:paraId="7DBA1F73">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2）须在施工现场安装适当的监控设备，以实时监测施工活动。该系统应涵盖整个施工现场，并保证监控画面的清晰度和稳定性。同时，监控系统要能够存储录像和图片等相关数据备份，并将施工监控接入比选人监控系统以备后续检查和调查需要。</w:t>
      </w:r>
    </w:p>
    <w:p w14:paraId="4D67CB94">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（3）须负责承担施工沿线涉及的征地、青苗占用以及本项目施工过程中（含外电配套）所发生的各种协调、附属工作直至项目最终验收合格并通电投营；</w:t>
      </w:r>
    </w:p>
    <w:p w14:paraId="52BA7D26">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（4）合理配置无功补偿模块，补偿后确保功率因数达到0.95及以上，若功率因数不达标，由此产生的力调电费由比选申请人承担。</w:t>
      </w:r>
    </w:p>
    <w:p w14:paraId="3E658672">
      <w:pPr>
        <w:spacing w:line="360" w:lineRule="auto"/>
        <w:ind w:right="0" w:firstLine="420" w:firstLineChars="200"/>
        <w:jc w:val="both"/>
        <w:rPr>
          <w:rFonts w:hint="eastAsia" w:ascii="Calibri" w:hAnsi="Calibri" w:eastAsia="宋体" w:cs="Times New Roman"/>
          <w:b w:val="0"/>
          <w:bCs w:val="0"/>
          <w:color w:val="000000"/>
          <w:kern w:val="0"/>
          <w:sz w:val="21"/>
          <w:szCs w:val="21"/>
          <w:highlight w:val="none"/>
          <w:lang w:val="en-US" w:eastAsia="zh-CN" w:bidi="ar-SA"/>
        </w:rPr>
      </w:pPr>
      <w:r>
        <w:rPr>
          <w:rFonts w:hint="eastAsia" w:ascii="Calibri" w:hAnsi="Calibri" w:eastAsia="宋体" w:cs="Times New Roman"/>
          <w:b w:val="0"/>
          <w:bCs w:val="0"/>
          <w:color w:val="000000"/>
          <w:kern w:val="0"/>
          <w:sz w:val="21"/>
          <w:szCs w:val="21"/>
          <w:highlight w:val="none"/>
          <w:lang w:val="en-US" w:eastAsia="zh-CN" w:bidi="ar-SA"/>
        </w:rPr>
        <w:t>（5）须协助比选人申请减免“大工业用电”基本电费工作。</w:t>
      </w:r>
    </w:p>
    <w:p w14:paraId="3B20A3C9">
      <w:pPr>
        <w:spacing w:line="360" w:lineRule="auto"/>
        <w:outlineLvl w:val="0"/>
        <w:rPr>
          <w:rFonts w:ascii="Times New Roman" w:hAnsi="Times New Roman" w:cs="Times New Roman"/>
          <w:color w:val="000000"/>
          <w:sz w:val="28"/>
          <w:szCs w:val="28"/>
          <w:highlight w:val="none"/>
        </w:rPr>
      </w:pPr>
      <w:r>
        <w:rPr>
          <w:rFonts w:ascii="Times New Roman" w:hAnsi="Times New Roman" w:cs="Times New Roman"/>
          <w:b/>
          <w:color w:val="000000"/>
          <w:sz w:val="28"/>
          <w:szCs w:val="28"/>
          <w:highlight w:val="none"/>
        </w:rPr>
        <w:t>3．</w:t>
      </w:r>
      <w:r>
        <w:rPr>
          <w:rFonts w:hint="eastAsia" w:ascii="Times New Roman" w:hAnsi="Times New Roman" w:cs="Times New Roman"/>
          <w:b/>
          <w:color w:val="000000"/>
          <w:sz w:val="28"/>
          <w:szCs w:val="28"/>
          <w:highlight w:val="none"/>
        </w:rPr>
        <w:t>比选申请人</w:t>
      </w:r>
      <w:r>
        <w:rPr>
          <w:rFonts w:ascii="Times New Roman" w:hAnsi="Times New Roman" w:cs="Times New Roman"/>
          <w:b/>
          <w:color w:val="000000"/>
          <w:sz w:val="28"/>
          <w:szCs w:val="28"/>
          <w:highlight w:val="none"/>
        </w:rPr>
        <w:t>资格要求</w:t>
      </w:r>
    </w:p>
    <w:p w14:paraId="31A6E357">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3.1 本次</w:t>
      </w:r>
      <w:r>
        <w:rPr>
          <w:rFonts w:hint="default"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要求</w:t>
      </w:r>
      <w:r>
        <w:rPr>
          <w:rFonts w:hint="default" w:ascii="Times New Roman" w:hAnsi="Times New Roman" w:cs="Times New Roman"/>
          <w:color w:val="000000"/>
          <w:kern w:val="0"/>
          <w:szCs w:val="21"/>
          <w:highlight w:val="none"/>
        </w:rPr>
        <w:t>比选申请人</w:t>
      </w:r>
      <w:r>
        <w:rPr>
          <w:rFonts w:ascii="Times New Roman" w:hAnsi="Times New Roman" w:cs="Times New Roman"/>
          <w:color w:val="000000"/>
          <w:kern w:val="0"/>
          <w:szCs w:val="21"/>
          <w:highlight w:val="none"/>
        </w:rPr>
        <w:t>具有：</w:t>
      </w:r>
    </w:p>
    <w:p w14:paraId="1BDEB327">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3.1.1</w:t>
      </w:r>
      <w:r>
        <w:rPr>
          <w:rFonts w:hint="default" w:ascii="Times New Roman" w:hAnsi="Times New Roman" w:eastAsia="宋体" w:cs="Times New Roman"/>
          <w:i w:val="0"/>
          <w:iCs w:val="0"/>
          <w:caps w:val="0"/>
          <w:color w:val="000000"/>
          <w:spacing w:val="0"/>
          <w:kern w:val="0"/>
          <w:sz w:val="21"/>
          <w:szCs w:val="21"/>
          <w:highlight w:val="none"/>
          <w:lang w:val="en-US" w:eastAsia="zh-CN"/>
        </w:rPr>
        <w:t>资质要求</w:t>
      </w:r>
    </w:p>
    <w:p w14:paraId="2EEEC350">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比选申请人须持有有效营业执照、</w:t>
      </w:r>
      <w:r>
        <w:rPr>
          <w:rFonts w:hint="default" w:ascii="Times New Roman" w:hAnsi="Times New Roman" w:eastAsia="宋体" w:cs="Times New Roman"/>
          <w:i w:val="0"/>
          <w:iCs w:val="0"/>
          <w:caps w:val="0"/>
          <w:color w:val="000000"/>
          <w:spacing w:val="0"/>
          <w:kern w:val="0"/>
          <w:sz w:val="21"/>
          <w:szCs w:val="21"/>
          <w:highlight w:val="none"/>
          <w:lang w:val="en-US" w:eastAsia="zh-CN"/>
        </w:rPr>
        <w:t>具备有效的安全生产许可证</w:t>
      </w:r>
      <w:r>
        <w:rPr>
          <w:rFonts w:hint="default" w:ascii="Times New Roman" w:hAnsi="Times New Roman" w:cs="Times New Roman"/>
          <w:i w:val="0"/>
          <w:iCs w:val="0"/>
          <w:caps w:val="0"/>
          <w:color w:val="000000"/>
          <w:spacing w:val="0"/>
          <w:kern w:val="0"/>
          <w:sz w:val="21"/>
          <w:szCs w:val="21"/>
          <w:highlight w:val="none"/>
          <w:lang w:val="en-US" w:eastAsia="zh-CN"/>
        </w:rPr>
        <w:t>并</w:t>
      </w:r>
      <w:r>
        <w:rPr>
          <w:rFonts w:hint="default" w:ascii="Times New Roman" w:hAnsi="Times New Roman" w:eastAsia="宋体" w:cs="Times New Roman"/>
          <w:i w:val="0"/>
          <w:iCs w:val="0"/>
          <w:caps w:val="0"/>
          <w:color w:val="000000"/>
          <w:spacing w:val="0"/>
          <w:kern w:val="0"/>
          <w:sz w:val="21"/>
          <w:szCs w:val="21"/>
          <w:highlight w:val="none"/>
          <w:lang w:val="en-US" w:eastAsia="zh-CN"/>
        </w:rPr>
        <w:t>至少满足以下任意一项：</w:t>
      </w:r>
    </w:p>
    <w:p w14:paraId="2A3A2D96">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①具有建筑机电安装工程专业承包三级及以上，并同时具有承装（修、试）电力设施许可证</w:t>
      </w:r>
      <w:r>
        <w:rPr>
          <w:rFonts w:hint="eastAsia" w:ascii="Times New Roman" w:hAnsi="Times New Roman" w:cs="Times New Roman"/>
          <w:i w:val="0"/>
          <w:iCs w:val="0"/>
          <w:caps w:val="0"/>
          <w:color w:val="000000"/>
          <w:spacing w:val="0"/>
          <w:kern w:val="0"/>
          <w:sz w:val="21"/>
          <w:szCs w:val="21"/>
          <w:highlight w:val="none"/>
          <w:lang w:val="en-US" w:eastAsia="zh-CN"/>
        </w:rPr>
        <w:t>三</w:t>
      </w:r>
      <w:r>
        <w:rPr>
          <w:rFonts w:hint="default" w:ascii="Times New Roman" w:hAnsi="Times New Roman" w:eastAsia="宋体" w:cs="Times New Roman"/>
          <w:i w:val="0"/>
          <w:iCs w:val="0"/>
          <w:caps w:val="0"/>
          <w:color w:val="000000"/>
          <w:spacing w:val="0"/>
          <w:kern w:val="0"/>
          <w:sz w:val="21"/>
          <w:szCs w:val="21"/>
          <w:highlight w:val="none"/>
          <w:lang w:val="en-US" w:eastAsia="zh-CN"/>
        </w:rPr>
        <w:t xml:space="preserve">级承装类及以上资质； </w:t>
      </w:r>
    </w:p>
    <w:p w14:paraId="7677A91E">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eastAsia="宋体" w:cs="Times New Roman"/>
          <w:i w:val="0"/>
          <w:iCs w:val="0"/>
          <w:caps w:val="0"/>
          <w:color w:val="000000"/>
          <w:spacing w:val="0"/>
          <w:kern w:val="0"/>
          <w:sz w:val="21"/>
          <w:szCs w:val="21"/>
          <w:highlight w:val="none"/>
          <w:lang w:val="en-US" w:eastAsia="zh-CN"/>
        </w:rPr>
        <w:t>②电力工程施工总承包三级及以上资质。</w:t>
      </w:r>
    </w:p>
    <w:p w14:paraId="5D2424D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3.1.2业绩要求</w:t>
      </w:r>
    </w:p>
    <w:p w14:paraId="442605A3">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近三年（202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年1月1日起至比选申请截止日，以合同签订时间为准）具有1个及以上类似项目业绩，类似项目业绩是指：</w:t>
      </w:r>
      <w:r>
        <w:rPr>
          <w:rFonts w:hint="eastAsia" w:ascii="Times New Roman" w:hAnsi="Times New Roman" w:cs="Times New Roman"/>
          <w:i w:val="0"/>
          <w:iCs w:val="0"/>
          <w:caps w:val="0"/>
          <w:color w:val="000000"/>
          <w:spacing w:val="0"/>
          <w:kern w:val="0"/>
          <w:sz w:val="21"/>
          <w:szCs w:val="21"/>
          <w:highlight w:val="none"/>
          <w:lang w:val="en-US" w:eastAsia="zh-CN"/>
        </w:rPr>
        <w:t>在建或已完</w:t>
      </w:r>
      <w:r>
        <w:rPr>
          <w:rFonts w:hint="default" w:ascii="Times New Roman" w:hAnsi="Times New Roman" w:cs="Times New Roman"/>
          <w:i w:val="0"/>
          <w:iCs w:val="0"/>
          <w:caps w:val="0"/>
          <w:color w:val="000000"/>
          <w:spacing w:val="0"/>
          <w:kern w:val="0"/>
          <w:sz w:val="21"/>
          <w:szCs w:val="21"/>
          <w:highlight w:val="none"/>
          <w:lang w:val="en-US" w:eastAsia="zh-CN"/>
        </w:rPr>
        <w:t>的充电站工程施工</w:t>
      </w:r>
      <w:r>
        <w:rPr>
          <w:rFonts w:hint="eastAsia" w:ascii="Times New Roman" w:hAnsi="Times New Roman" w:cs="Times New Roman"/>
          <w:i w:val="0"/>
          <w:iCs w:val="0"/>
          <w:caps w:val="0"/>
          <w:color w:val="000000"/>
          <w:spacing w:val="0"/>
          <w:kern w:val="0"/>
          <w:sz w:val="21"/>
          <w:szCs w:val="21"/>
          <w:highlight w:val="none"/>
          <w:lang w:val="en-US" w:eastAsia="zh-CN"/>
        </w:rPr>
        <w:t>业绩</w:t>
      </w:r>
      <w:r>
        <w:rPr>
          <w:rFonts w:hint="default" w:ascii="Times New Roman" w:hAnsi="Times New Roman" w:cs="Times New Roman"/>
          <w:i w:val="0"/>
          <w:iCs w:val="0"/>
          <w:caps w:val="0"/>
          <w:color w:val="000000"/>
          <w:spacing w:val="0"/>
          <w:kern w:val="0"/>
          <w:sz w:val="21"/>
          <w:szCs w:val="21"/>
          <w:highlight w:val="none"/>
          <w:lang w:val="en-US" w:eastAsia="zh-CN"/>
        </w:rPr>
        <w:t>。</w:t>
      </w:r>
    </w:p>
    <w:p w14:paraId="14711CB1">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3.1.3信誉要求</w:t>
      </w:r>
    </w:p>
    <w:p w14:paraId="6310082A">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在“信用中国”网站（http://www.creditchina.gov.cn/）中被列入失信被执行人名单信息的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BA57112">
      <w:pPr>
        <w:spacing w:line="360" w:lineRule="auto"/>
        <w:ind w:firstLine="420"/>
        <w:rPr>
          <w:rFonts w:hint="default" w:ascii="Times New Roman" w:hAnsi="Times New Roman" w:eastAsia="宋体"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w:t>
      </w:r>
      <w:r>
        <w:rPr>
          <w:rFonts w:hint="default" w:ascii="Times New Roman" w:hAnsi="Times New Roman" w:eastAsia="宋体" w:cs="Times New Roman"/>
          <w:i w:val="0"/>
          <w:iCs w:val="0"/>
          <w:caps w:val="0"/>
          <w:color w:val="000000"/>
          <w:spacing w:val="0"/>
          <w:kern w:val="0"/>
          <w:sz w:val="21"/>
          <w:szCs w:val="21"/>
          <w:highlight w:val="none"/>
          <w:lang w:val="en-US" w:eastAsia="zh-CN"/>
        </w:rPr>
        <w:t>在国家企业信用信息公示系统（http://www.gsxt.gov.cn/）中被列入严重违法失信名单（黑名单）信息的</w:t>
      </w:r>
      <w:r>
        <w:rPr>
          <w:rFonts w:hint="default" w:ascii="Times New Roman" w:hAnsi="Times New Roman" w:cs="Times New Roman"/>
          <w:i w:val="0"/>
          <w:iCs w:val="0"/>
          <w:caps w:val="0"/>
          <w:color w:val="000000"/>
          <w:spacing w:val="0"/>
          <w:kern w:val="0"/>
          <w:sz w:val="21"/>
          <w:szCs w:val="21"/>
          <w:highlight w:val="none"/>
          <w:lang w:val="en-US" w:eastAsia="zh-CN"/>
        </w:rPr>
        <w:t>比选申请人</w:t>
      </w:r>
      <w:r>
        <w:rPr>
          <w:rFonts w:hint="default" w:ascii="Times New Roman" w:hAnsi="Times New Roman" w:eastAsia="宋体" w:cs="Times New Roman"/>
          <w:i w:val="0"/>
          <w:iCs w:val="0"/>
          <w:caps w:val="0"/>
          <w:color w:val="000000"/>
          <w:spacing w:val="0"/>
          <w:kern w:val="0"/>
          <w:sz w:val="21"/>
          <w:szCs w:val="21"/>
          <w:highlight w:val="none"/>
          <w:lang w:val="en-US" w:eastAsia="zh-CN"/>
        </w:rPr>
        <w:t>，</w:t>
      </w:r>
      <w:r>
        <w:rPr>
          <w:rFonts w:hint="default" w:ascii="Times New Roman" w:hAnsi="Times New Roman" w:cs="Times New Roman"/>
          <w:i w:val="0"/>
          <w:iCs w:val="0"/>
          <w:caps w:val="0"/>
          <w:color w:val="000000"/>
          <w:spacing w:val="0"/>
          <w:kern w:val="0"/>
          <w:sz w:val="21"/>
          <w:szCs w:val="21"/>
          <w:highlight w:val="none"/>
          <w:lang w:val="en-US" w:eastAsia="zh-CN"/>
        </w:rPr>
        <w:t>其比选申请无效</w:t>
      </w:r>
      <w:r>
        <w:rPr>
          <w:rFonts w:hint="default" w:ascii="Times New Roman" w:hAnsi="Times New Roman" w:eastAsia="宋体" w:cs="Times New Roman"/>
          <w:i w:val="0"/>
          <w:iCs w:val="0"/>
          <w:caps w:val="0"/>
          <w:color w:val="000000"/>
          <w:spacing w:val="0"/>
          <w:kern w:val="0"/>
          <w:sz w:val="21"/>
          <w:szCs w:val="21"/>
          <w:highlight w:val="none"/>
          <w:lang w:val="en-US" w:eastAsia="zh-CN"/>
        </w:rPr>
        <w:t>。</w:t>
      </w:r>
    </w:p>
    <w:p w14:paraId="53198C25">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（3）在202</w:t>
      </w: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年1月1日至本项目比选申请截止日期间，比选申请人（单位）、法定代表人、项目经理、技术负责人、安全负责人</w:t>
      </w:r>
      <w:r>
        <w:rPr>
          <w:rFonts w:hint="eastAsia" w:ascii="Times New Roman" w:hAnsi="Times New Roman" w:cs="Times New Roman"/>
          <w:i w:val="0"/>
          <w:iCs w:val="0"/>
          <w:caps w:val="0"/>
          <w:color w:val="000000"/>
          <w:spacing w:val="0"/>
          <w:kern w:val="0"/>
          <w:sz w:val="21"/>
          <w:szCs w:val="21"/>
          <w:highlight w:val="none"/>
          <w:lang w:val="en-US" w:eastAsia="zh-CN"/>
        </w:rPr>
        <w:t>均未</w:t>
      </w:r>
      <w:r>
        <w:rPr>
          <w:rFonts w:hint="default" w:ascii="Times New Roman" w:hAnsi="Times New Roman" w:cs="Times New Roman"/>
          <w:i w:val="0"/>
          <w:iCs w:val="0"/>
          <w:caps w:val="0"/>
          <w:color w:val="000000"/>
          <w:spacing w:val="0"/>
          <w:kern w:val="0"/>
          <w:sz w:val="21"/>
          <w:szCs w:val="21"/>
          <w:highlight w:val="none"/>
          <w:lang w:val="en-US" w:eastAsia="zh-CN"/>
        </w:rPr>
        <w:t>被人民法院生效判决为行贿犯罪，</w:t>
      </w:r>
      <w:r>
        <w:rPr>
          <w:rFonts w:hint="eastAsia" w:ascii="Times New Roman" w:hAnsi="Times New Roman" w:cs="Times New Roman"/>
          <w:i w:val="0"/>
          <w:iCs w:val="0"/>
          <w:caps w:val="0"/>
          <w:color w:val="000000"/>
          <w:spacing w:val="0"/>
          <w:kern w:val="0"/>
          <w:sz w:val="21"/>
          <w:szCs w:val="21"/>
          <w:highlight w:val="none"/>
          <w:lang w:val="en-US" w:eastAsia="zh-CN"/>
        </w:rPr>
        <w:t>否则</w:t>
      </w:r>
      <w:r>
        <w:rPr>
          <w:rFonts w:hint="default" w:ascii="Times New Roman" w:hAnsi="Times New Roman" w:cs="Times New Roman"/>
          <w:i w:val="0"/>
          <w:iCs w:val="0"/>
          <w:caps w:val="0"/>
          <w:color w:val="000000"/>
          <w:spacing w:val="0"/>
          <w:kern w:val="0"/>
          <w:sz w:val="21"/>
          <w:szCs w:val="21"/>
          <w:highlight w:val="none"/>
          <w:lang w:val="en-US" w:eastAsia="zh-CN"/>
        </w:rPr>
        <w:t>其比选申请无效。（比选申请人须提交无行贿犯罪的承诺函）</w:t>
      </w:r>
    </w:p>
    <w:p w14:paraId="23903962">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3.1.4主要人员要求</w:t>
      </w:r>
    </w:p>
    <w:p w14:paraId="36399E74">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（1）</w:t>
      </w:r>
      <w:r>
        <w:rPr>
          <w:rFonts w:hint="default" w:ascii="Times New Roman" w:hAnsi="Times New Roman" w:cs="Times New Roman"/>
          <w:i w:val="0"/>
          <w:iCs w:val="0"/>
          <w:caps w:val="0"/>
          <w:color w:val="000000"/>
          <w:spacing w:val="0"/>
          <w:kern w:val="0"/>
          <w:sz w:val="21"/>
          <w:szCs w:val="21"/>
          <w:highlight w:val="none"/>
          <w:lang w:val="en-US" w:eastAsia="zh-CN"/>
        </w:rPr>
        <w:t>项目经理：1人</w:t>
      </w:r>
      <w:r>
        <w:rPr>
          <w:rFonts w:hint="eastAsia" w:ascii="Times New Roman" w:hAnsi="Times New Roman" w:cs="Times New Roman"/>
          <w:i w:val="0"/>
          <w:iCs w:val="0"/>
          <w:caps w:val="0"/>
          <w:color w:val="000000"/>
          <w:spacing w:val="0"/>
          <w:kern w:val="0"/>
          <w:sz w:val="21"/>
          <w:szCs w:val="21"/>
          <w:highlight w:val="none"/>
          <w:lang w:val="en-US" w:eastAsia="zh-CN"/>
        </w:rPr>
        <w:t>，具备国家建设行政主管部门颁发的机电工程或建筑类二级及以上</w:t>
      </w:r>
      <w:bookmarkStart w:id="0" w:name="OLE_LINK1"/>
      <w:r>
        <w:rPr>
          <w:rFonts w:hint="eastAsia" w:ascii="Times New Roman" w:hAnsi="Times New Roman" w:cs="Times New Roman"/>
          <w:i w:val="0"/>
          <w:iCs w:val="0"/>
          <w:caps w:val="0"/>
          <w:color w:val="000000"/>
          <w:spacing w:val="0"/>
          <w:kern w:val="0"/>
          <w:sz w:val="21"/>
          <w:szCs w:val="21"/>
          <w:highlight w:val="none"/>
          <w:lang w:val="en-US" w:eastAsia="zh-CN"/>
        </w:rPr>
        <w:t>注册建造师</w:t>
      </w:r>
      <w:bookmarkEnd w:id="0"/>
      <w:r>
        <w:rPr>
          <w:rFonts w:hint="eastAsia" w:ascii="Times New Roman" w:hAnsi="Times New Roman" w:cs="Times New Roman"/>
          <w:i w:val="0"/>
          <w:iCs w:val="0"/>
          <w:caps w:val="0"/>
          <w:color w:val="000000"/>
          <w:spacing w:val="0"/>
          <w:kern w:val="0"/>
          <w:sz w:val="21"/>
          <w:szCs w:val="21"/>
          <w:highlight w:val="none"/>
          <w:lang w:val="en-US" w:eastAsia="zh-CN"/>
        </w:rPr>
        <w:t>执业资格，具备有效的安全生产考核合格证书（B证）。</w:t>
      </w:r>
    </w:p>
    <w:p w14:paraId="7067FFDC">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（2）</w:t>
      </w:r>
      <w:r>
        <w:rPr>
          <w:rFonts w:hint="default" w:ascii="Times New Roman" w:hAnsi="Times New Roman" w:cs="Times New Roman"/>
          <w:i w:val="0"/>
          <w:iCs w:val="0"/>
          <w:caps w:val="0"/>
          <w:color w:val="000000"/>
          <w:spacing w:val="0"/>
          <w:kern w:val="0"/>
          <w:sz w:val="21"/>
          <w:szCs w:val="21"/>
          <w:highlight w:val="none"/>
          <w:lang w:val="en-US" w:eastAsia="zh-CN"/>
        </w:rPr>
        <w:t>技术负责人：1人，</w:t>
      </w:r>
      <w:r>
        <w:rPr>
          <w:rFonts w:hint="eastAsia" w:ascii="Times New Roman" w:hAnsi="Times New Roman" w:cs="Times New Roman"/>
          <w:i w:val="0"/>
          <w:iCs w:val="0"/>
          <w:caps w:val="0"/>
          <w:color w:val="000000"/>
          <w:spacing w:val="0"/>
          <w:kern w:val="0"/>
          <w:sz w:val="21"/>
          <w:szCs w:val="21"/>
          <w:highlight w:val="none"/>
          <w:lang w:val="en-US" w:eastAsia="zh-CN"/>
        </w:rPr>
        <w:t>具有工程类工程师及以上职称。</w:t>
      </w:r>
    </w:p>
    <w:p w14:paraId="1E839036">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w:t>
      </w:r>
      <w:r>
        <w:rPr>
          <w:rFonts w:hint="default" w:ascii="Times New Roman" w:hAnsi="Times New Roman" w:cs="Times New Roman"/>
          <w:i w:val="0"/>
          <w:iCs w:val="0"/>
          <w:caps w:val="0"/>
          <w:color w:val="000000"/>
          <w:spacing w:val="0"/>
          <w:kern w:val="0"/>
          <w:sz w:val="21"/>
          <w:szCs w:val="21"/>
          <w:highlight w:val="none"/>
          <w:lang w:val="en-US" w:eastAsia="zh-CN"/>
        </w:rPr>
        <w:t>安全负责人：1人，</w:t>
      </w:r>
      <w:r>
        <w:rPr>
          <w:rFonts w:hint="eastAsia" w:ascii="Times New Roman" w:hAnsi="Times New Roman" w:cs="Times New Roman"/>
          <w:i w:val="0"/>
          <w:iCs w:val="0"/>
          <w:caps w:val="0"/>
          <w:color w:val="000000"/>
          <w:spacing w:val="0"/>
          <w:kern w:val="0"/>
          <w:sz w:val="21"/>
          <w:szCs w:val="21"/>
          <w:highlight w:val="none"/>
          <w:lang w:val="en-US" w:eastAsia="zh-CN"/>
        </w:rPr>
        <w:t>具有国家建设主管部门颁发有效的安全生产考核合格C证。</w:t>
      </w:r>
    </w:p>
    <w:p w14:paraId="146BE62E">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default" w:ascii="Times New Roman" w:hAnsi="Times New Roman" w:cs="Times New Roman"/>
          <w:i w:val="0"/>
          <w:iCs w:val="0"/>
          <w:caps w:val="0"/>
          <w:color w:val="000000"/>
          <w:spacing w:val="0"/>
          <w:kern w:val="0"/>
          <w:sz w:val="21"/>
          <w:szCs w:val="21"/>
          <w:highlight w:val="none"/>
          <w:lang w:val="en-US" w:eastAsia="zh-CN"/>
        </w:rPr>
        <w:t>注：</w:t>
      </w:r>
      <w:r>
        <w:rPr>
          <w:rFonts w:hint="eastAsia" w:ascii="Times New Roman" w:hAnsi="Times New Roman" w:cs="Times New Roman"/>
          <w:i w:val="0"/>
          <w:iCs w:val="0"/>
          <w:caps w:val="0"/>
          <w:color w:val="000000"/>
          <w:spacing w:val="0"/>
          <w:kern w:val="0"/>
          <w:sz w:val="21"/>
          <w:szCs w:val="21"/>
          <w:highlight w:val="none"/>
          <w:lang w:val="en-US" w:eastAsia="zh-CN"/>
        </w:rPr>
        <w:t>以上人员须提供身份证、建造师注册证（须在有效期内，且注册在比选申请单位）、职称证、安全生产考核合格证和比选申请截止日所在月上个月或上上个月起之前在其比选申请人单位连续6个月参加社保的证明。</w:t>
      </w:r>
    </w:p>
    <w:p w14:paraId="0D68C7EB">
      <w:pPr>
        <w:spacing w:line="360" w:lineRule="auto"/>
        <w:ind w:firstLine="420"/>
        <w:rPr>
          <w:rFonts w:hint="default"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3.1.5其他要求</w:t>
      </w:r>
    </w:p>
    <w:p w14:paraId="63036696">
      <w:pPr>
        <w:spacing w:line="360" w:lineRule="auto"/>
        <w:ind w:firstLine="420"/>
        <w:rPr>
          <w:rFonts w:hint="eastAsia" w:ascii="Times New Roman" w:hAnsi="Times New Roman" w:cs="Times New Roman"/>
          <w:i w:val="0"/>
          <w:iCs w:val="0"/>
          <w:caps w:val="0"/>
          <w:color w:val="000000"/>
          <w:spacing w:val="0"/>
          <w:kern w:val="0"/>
          <w:sz w:val="21"/>
          <w:szCs w:val="21"/>
          <w:highlight w:val="none"/>
          <w:lang w:val="en-US" w:eastAsia="zh-CN"/>
        </w:rPr>
      </w:pPr>
      <w:r>
        <w:rPr>
          <w:rFonts w:hint="eastAsia" w:ascii="Times New Roman" w:hAnsi="Times New Roman" w:cs="Times New Roman"/>
          <w:i w:val="0"/>
          <w:iCs w:val="0"/>
          <w:caps w:val="0"/>
          <w:color w:val="000000"/>
          <w:spacing w:val="0"/>
          <w:kern w:val="0"/>
          <w:sz w:val="21"/>
          <w:szCs w:val="21"/>
          <w:highlight w:val="none"/>
          <w:lang w:val="en-US" w:eastAsia="zh-CN"/>
        </w:rPr>
        <w:t>比选申请人须在蜀道集团公司工程建设协作方资源库（协作方管理平台，网址：https://xzf.shudaolink.com/）中，被协作方资源库列为C级及以下的比选申请人，不得参加比选申请</w:t>
      </w:r>
      <w:r>
        <w:rPr>
          <w:rFonts w:hint="default" w:ascii="Times New Roman" w:hAnsi="Times New Roman" w:cs="Times New Roman"/>
          <w:i w:val="0"/>
          <w:iCs w:val="0"/>
          <w:caps w:val="0"/>
          <w:color w:val="000000"/>
          <w:spacing w:val="0"/>
          <w:kern w:val="0"/>
          <w:sz w:val="21"/>
          <w:szCs w:val="21"/>
          <w:highlight w:val="none"/>
          <w:lang w:val="en-US" w:eastAsia="zh-CN"/>
        </w:rPr>
        <w:t>（提供网页查询截图证明）</w:t>
      </w:r>
      <w:r>
        <w:rPr>
          <w:rFonts w:hint="eastAsia" w:ascii="Times New Roman" w:hAnsi="Times New Roman" w:cs="Times New Roman"/>
          <w:i w:val="0"/>
          <w:iCs w:val="0"/>
          <w:caps w:val="0"/>
          <w:color w:val="000000"/>
          <w:spacing w:val="0"/>
          <w:kern w:val="0"/>
          <w:sz w:val="21"/>
          <w:szCs w:val="21"/>
          <w:highlight w:val="none"/>
          <w:lang w:val="en-US" w:eastAsia="zh-CN"/>
        </w:rPr>
        <w:t>。</w:t>
      </w:r>
    </w:p>
    <w:p w14:paraId="0D12226B">
      <w:pPr>
        <w:spacing w:line="360" w:lineRule="auto"/>
        <w:ind w:firstLine="420" w:firstLineChars="200"/>
        <w:outlineLvl w:val="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3.2本次</w:t>
      </w:r>
      <w:r>
        <w:rPr>
          <w:rFonts w:hint="default" w:ascii="Times New Roman" w:hAnsi="Times New Roman" w:cs="Times New Roman"/>
          <w:color w:val="000000"/>
          <w:kern w:val="0"/>
          <w:szCs w:val="21"/>
          <w:highlight w:val="none"/>
        </w:rPr>
        <w:t>比选</w:t>
      </w:r>
      <w:r>
        <w:rPr>
          <w:rFonts w:hint="default" w:ascii="Times New Roman" w:hAnsi="Times New Roman" w:cs="Times New Roman"/>
          <w:color w:val="000000"/>
          <w:kern w:val="0"/>
          <w:szCs w:val="21"/>
          <w:highlight w:val="none"/>
          <w:u w:val="single"/>
          <w:lang w:val="en-US" w:eastAsia="zh-CN"/>
        </w:rPr>
        <w:t>不</w:t>
      </w:r>
      <w:r>
        <w:rPr>
          <w:rFonts w:ascii="Times New Roman" w:hAnsi="Times New Roman" w:cs="Times New Roman"/>
          <w:color w:val="000000"/>
          <w:kern w:val="0"/>
          <w:szCs w:val="21"/>
          <w:highlight w:val="none"/>
          <w:u w:val="single"/>
        </w:rPr>
        <w:t>接受</w:t>
      </w:r>
      <w:r>
        <w:rPr>
          <w:rFonts w:ascii="Times New Roman" w:hAnsi="Times New Roman" w:cs="Times New Roman"/>
          <w:color w:val="000000"/>
          <w:kern w:val="0"/>
          <w:szCs w:val="21"/>
          <w:highlight w:val="none"/>
        </w:rPr>
        <w:t>联合体申请。</w:t>
      </w:r>
    </w:p>
    <w:p w14:paraId="0B1A9380">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4.评</w:t>
      </w:r>
      <w:r>
        <w:rPr>
          <w:rFonts w:hint="eastAsia" w:ascii="Times New Roman" w:hAnsi="Times New Roman" w:cs="Times New Roman"/>
          <w:b/>
          <w:color w:val="000000"/>
          <w:sz w:val="28"/>
          <w:szCs w:val="28"/>
          <w:highlight w:val="none"/>
          <w:lang w:val="en-US" w:eastAsia="zh-CN"/>
        </w:rPr>
        <w:t>审</w:t>
      </w:r>
      <w:r>
        <w:rPr>
          <w:rFonts w:ascii="Times New Roman" w:hAnsi="Times New Roman" w:cs="Times New Roman"/>
          <w:b/>
          <w:color w:val="000000"/>
          <w:sz w:val="28"/>
          <w:szCs w:val="28"/>
          <w:highlight w:val="none"/>
        </w:rPr>
        <w:t>办法</w:t>
      </w:r>
    </w:p>
    <w:p w14:paraId="5D77F340">
      <w:pPr>
        <w:spacing w:line="360" w:lineRule="auto"/>
        <w:ind w:firstLine="420" w:firstLineChars="200"/>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t>4.1</w:t>
      </w:r>
      <w:r>
        <w:rPr>
          <w:rFonts w:hint="eastAsia" w:ascii="Times New Roman" w:hAnsi="Times New Roman" w:cs="Times New Roman"/>
          <w:color w:val="000000"/>
          <w:kern w:val="0"/>
          <w:szCs w:val="21"/>
          <w:highlight w:val="none"/>
          <w:lang w:val="en-US" w:eastAsia="zh-CN"/>
        </w:rPr>
        <w:t>本次比选采用</w:t>
      </w:r>
      <w:r>
        <w:rPr>
          <w:rFonts w:hint="eastAsia" w:ascii="Times New Roman" w:hAnsi="Times New Roman" w:cs="Times New Roman"/>
          <w:color w:val="000000"/>
          <w:kern w:val="0"/>
          <w:szCs w:val="21"/>
          <w:highlight w:val="none"/>
          <w:u w:val="single"/>
          <w:lang w:val="en-US" w:eastAsia="zh-CN"/>
        </w:rPr>
        <w:t>综合评分法</w:t>
      </w:r>
      <w:r>
        <w:rPr>
          <w:rFonts w:hint="eastAsia" w:ascii="Times New Roman" w:hAnsi="Times New Roman" w:cs="Times New Roman"/>
          <w:color w:val="000000"/>
          <w:kern w:val="0"/>
          <w:szCs w:val="21"/>
          <w:highlight w:val="none"/>
          <w:lang w:val="en-US" w:eastAsia="zh-CN"/>
        </w:rPr>
        <w:t>，资格后审。</w:t>
      </w:r>
    </w:p>
    <w:p w14:paraId="14FF7B55">
      <w:pPr>
        <w:spacing w:line="360" w:lineRule="auto"/>
        <w:outlineLvl w:val="0"/>
        <w:rPr>
          <w:rFonts w:hint="eastAsia" w:ascii="Times New Roman" w:hAnsi="Times New Roman" w:eastAsia="宋体" w:cs="Times New Roman"/>
          <w:color w:val="000000"/>
          <w:sz w:val="28"/>
          <w:szCs w:val="28"/>
          <w:highlight w:val="none"/>
          <w:lang w:eastAsia="zh-CN"/>
        </w:rPr>
      </w:pPr>
      <w:r>
        <w:rPr>
          <w:rFonts w:ascii="Times New Roman" w:hAnsi="Times New Roman" w:cs="Times New Roman"/>
          <w:b/>
          <w:color w:val="000000"/>
          <w:sz w:val="28"/>
          <w:szCs w:val="28"/>
          <w:highlight w:val="none"/>
        </w:rPr>
        <w:t>5.</w:t>
      </w:r>
      <w:r>
        <w:rPr>
          <w:rFonts w:hint="eastAsia" w:ascii="Times New Roman" w:hAnsi="Times New Roman" w:cs="Times New Roman"/>
          <w:b/>
          <w:color w:val="000000"/>
          <w:sz w:val="28"/>
          <w:szCs w:val="28"/>
          <w:highlight w:val="none"/>
        </w:rPr>
        <w:t>比选</w:t>
      </w:r>
      <w:r>
        <w:rPr>
          <w:rFonts w:ascii="Times New Roman" w:hAnsi="Times New Roman" w:cs="Times New Roman"/>
          <w:b/>
          <w:color w:val="000000"/>
          <w:sz w:val="28"/>
          <w:szCs w:val="28"/>
          <w:highlight w:val="none"/>
        </w:rPr>
        <w:t>文件的获取</w:t>
      </w:r>
    </w:p>
    <w:p w14:paraId="563F021A">
      <w:pPr>
        <w:spacing w:line="360" w:lineRule="auto"/>
        <w:ind w:left="0" w:leftChars="0" w:firstLine="420" w:firstLineChars="200"/>
        <w:rPr>
          <w:rFonts w:ascii="Times New Roman" w:hAnsi="Times New Roman" w:cs="Times New Roman"/>
          <w:color w:val="0000FF"/>
          <w:kern w:val="0"/>
          <w:szCs w:val="21"/>
          <w:highlight w:val="none"/>
        </w:rPr>
      </w:pPr>
      <w:r>
        <w:rPr>
          <w:rFonts w:hint="eastAsia"/>
          <w:b w:val="0"/>
          <w:bCs w:val="0"/>
          <w:kern w:val="2"/>
          <w:sz w:val="21"/>
          <w:szCs w:val="21"/>
          <w:highlight w:val="none"/>
          <w:lang w:val="en-US" w:eastAsia="zh-CN"/>
        </w:rPr>
        <w:t>5.1</w:t>
      </w:r>
      <w:r>
        <w:rPr>
          <w:rFonts w:hint="eastAsia"/>
          <w:b w:val="0"/>
          <w:bCs w:val="0"/>
          <w:kern w:val="2"/>
          <w:sz w:val="21"/>
          <w:szCs w:val="21"/>
          <w:highlight w:val="none"/>
          <w:lang w:val="en-US" w:eastAsia="zh-CN"/>
        </w:rPr>
        <w:fldChar w:fldCharType="begin"/>
      </w:r>
      <w:r>
        <w:rPr>
          <w:rFonts w:hint="eastAsia"/>
          <w:b w:val="0"/>
          <w:bCs w:val="0"/>
          <w:kern w:val="2"/>
          <w:sz w:val="21"/>
          <w:szCs w:val="21"/>
          <w:highlight w:val="none"/>
          <w:lang w:val="en-US" w:eastAsia="zh-CN"/>
        </w:rPr>
        <w:instrText xml:space="preserve"> HYPERLINK "mailto:通过邮箱报名，凡有意参加比选竞争并符合第三条" </w:instrText>
      </w:r>
      <w:r>
        <w:rPr>
          <w:rFonts w:hint="eastAsia"/>
          <w:b w:val="0"/>
          <w:bCs w:val="0"/>
          <w:kern w:val="2"/>
          <w:sz w:val="21"/>
          <w:szCs w:val="21"/>
          <w:highlight w:val="none"/>
          <w:lang w:val="en-US" w:eastAsia="zh-CN"/>
        </w:rPr>
        <w:fldChar w:fldCharType="separate"/>
      </w:r>
      <w:r>
        <w:rPr>
          <w:rFonts w:hint="eastAsia"/>
          <w:b w:val="0"/>
          <w:bCs w:val="0"/>
          <w:kern w:val="2"/>
          <w:sz w:val="21"/>
          <w:szCs w:val="21"/>
          <w:highlight w:val="none"/>
          <w:lang w:val="en-US" w:eastAsia="zh-CN"/>
        </w:rPr>
        <w:t>凡有意参加比选竞争并符合第三条“比选申请人资格要求”的申请人，请于2025年9月24日至2025年9月29日在四川蜀道新能源科技发展有限公司网站（http://www.sdxnykj.cn/）上免费下载比选文件。</w:t>
      </w:r>
      <w:r>
        <w:rPr>
          <w:rFonts w:hint="eastAsia"/>
          <w:b w:val="0"/>
          <w:bCs w:val="0"/>
          <w:kern w:val="2"/>
          <w:sz w:val="21"/>
          <w:szCs w:val="21"/>
          <w:highlight w:val="none"/>
          <w:lang w:val="en-US" w:eastAsia="zh-CN"/>
        </w:rPr>
        <w:fldChar w:fldCharType="end"/>
      </w:r>
    </w:p>
    <w:p w14:paraId="68B1F359">
      <w:pPr>
        <w:widowControl/>
        <w:tabs>
          <w:tab w:val="left" w:pos="5220"/>
          <w:tab w:val="left" w:pos="5400"/>
          <w:tab w:val="left" w:pos="5580"/>
        </w:tabs>
        <w:autoSpaceDE w:val="0"/>
        <w:autoSpaceDN w:val="0"/>
        <w:spacing w:line="360" w:lineRule="auto"/>
        <w:ind w:firstLine="420" w:firstLineChars="200"/>
        <w:jc w:val="left"/>
        <w:rPr>
          <w:rFonts w:hint="eastAsia" w:ascii="Times New Roman" w:hAnsi="Times New Roman" w:eastAsia="宋体" w:cs="Times New Roman"/>
          <w:color w:val="0000FF"/>
          <w:kern w:val="0"/>
          <w:szCs w:val="21"/>
          <w:highlight w:val="none"/>
          <w:lang w:eastAsia="zh-CN"/>
        </w:rPr>
      </w:pPr>
      <w:r>
        <w:rPr>
          <w:rFonts w:ascii="Times New Roman" w:hAnsi="Times New Roman" w:cs="Times New Roman"/>
          <w:kern w:val="0"/>
          <w:szCs w:val="21"/>
          <w:highlight w:val="none"/>
        </w:rPr>
        <w:t>5.1.1</w:t>
      </w:r>
      <w:r>
        <w:rPr>
          <w:rFonts w:hint="eastAsia" w:ascii="Times New Roman" w:hAnsi="Times New Roman" w:cs="Times New Roman"/>
          <w:kern w:val="0"/>
          <w:szCs w:val="21"/>
          <w:highlight w:val="none"/>
          <w:lang w:val="en-US" w:eastAsia="zh-CN"/>
        </w:rPr>
        <w:t xml:space="preserve"> </w:t>
      </w:r>
      <w:r>
        <w:rPr>
          <w:rFonts w:hint="eastAsia" w:ascii="Times New Roman" w:hAnsi="Times New Roman" w:cs="Times New Roman"/>
          <w:kern w:val="0"/>
          <w:szCs w:val="21"/>
          <w:highlight w:val="none"/>
        </w:rPr>
        <w:t>比选申请</w:t>
      </w:r>
      <w:r>
        <w:rPr>
          <w:rFonts w:ascii="Times New Roman" w:hAnsi="Times New Roman" w:cs="Times New Roman"/>
          <w:kern w:val="0"/>
          <w:szCs w:val="21"/>
          <w:highlight w:val="none"/>
        </w:rPr>
        <w:t>保证金费用的约定：</w:t>
      </w:r>
    </w:p>
    <w:p w14:paraId="451408E8">
      <w:pPr>
        <w:widowControl/>
        <w:numPr>
          <w:ilvl w:val="255"/>
          <w:numId w:val="0"/>
        </w:numPr>
        <w:spacing w:line="360" w:lineRule="auto"/>
        <w:ind w:right="149" w:rightChars="71" w:firstLine="420" w:firstLineChars="200"/>
        <w:jc w:val="left"/>
        <w:rPr>
          <w:rFonts w:hint="eastAsia" w:ascii="Times New Roman" w:hAnsi="Times New Roman" w:eastAsia="宋体" w:cs="Times New Roman"/>
          <w:kern w:val="0"/>
          <w:szCs w:val="21"/>
          <w:highlight w:val="none"/>
          <w:lang w:val="en-US" w:eastAsia="zh-CN"/>
        </w:rPr>
      </w:pPr>
      <w:r>
        <w:rPr>
          <w:rFonts w:hint="eastAsia" w:ascii="Times New Roman" w:hAnsi="Times New Roman" w:cs="Times New Roman"/>
          <w:kern w:val="0"/>
          <w:szCs w:val="21"/>
          <w:highlight w:val="none"/>
        </w:rPr>
        <w:t>比选申请</w:t>
      </w:r>
      <w:r>
        <w:rPr>
          <w:rFonts w:ascii="Times New Roman" w:hAnsi="Times New Roman" w:cs="Times New Roman"/>
          <w:color w:val="000000"/>
          <w:szCs w:val="21"/>
          <w:highlight w:val="none"/>
        </w:rPr>
        <w:t>保证金金额：</w:t>
      </w:r>
      <w:r>
        <w:rPr>
          <w:rFonts w:hint="eastAsia" w:ascii="Times New Roman" w:hAnsi="Times New Roman" w:cs="Times New Roman"/>
          <w:color w:val="000000"/>
          <w:szCs w:val="21"/>
          <w:highlight w:val="none"/>
          <w:lang w:val="en-US" w:eastAsia="zh-CN"/>
        </w:rPr>
        <w:t>无</w:t>
      </w:r>
    </w:p>
    <w:p w14:paraId="690989BD">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6.</w:t>
      </w:r>
      <w:r>
        <w:rPr>
          <w:rFonts w:hint="eastAsia" w:ascii="Times New Roman" w:hAnsi="Times New Roman" w:cs="Times New Roman"/>
          <w:b/>
          <w:color w:val="000000"/>
          <w:sz w:val="28"/>
          <w:szCs w:val="28"/>
          <w:highlight w:val="none"/>
        </w:rPr>
        <w:t>比选申请文件</w:t>
      </w:r>
      <w:r>
        <w:rPr>
          <w:rFonts w:ascii="Times New Roman" w:hAnsi="Times New Roman" w:cs="Times New Roman"/>
          <w:b/>
          <w:color w:val="000000"/>
          <w:sz w:val="28"/>
          <w:szCs w:val="28"/>
          <w:highlight w:val="none"/>
        </w:rPr>
        <w:t>的递交及相关事宜</w:t>
      </w:r>
    </w:p>
    <w:p w14:paraId="1F6F2B78">
      <w:pPr>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6.1现场踏勘及</w:t>
      </w:r>
      <w:r>
        <w:rPr>
          <w:rFonts w:hint="eastAsia" w:ascii="Times New Roman" w:hAnsi="Times New Roman" w:cs="Times New Roman"/>
          <w:highlight w:val="none"/>
        </w:rPr>
        <w:t>比选申请</w:t>
      </w:r>
      <w:r>
        <w:rPr>
          <w:rFonts w:ascii="Times New Roman" w:hAnsi="Times New Roman" w:cs="Times New Roman"/>
          <w:highlight w:val="none"/>
        </w:rPr>
        <w:t>预备会议</w:t>
      </w:r>
    </w:p>
    <w:p w14:paraId="4110241E">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6.1.1现场踏勘：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181B5645">
      <w:pPr>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6.1.2</w:t>
      </w:r>
      <w:r>
        <w:rPr>
          <w:rFonts w:hint="eastAsia" w:ascii="Times New Roman" w:hAnsi="Times New Roman" w:cs="Times New Roman"/>
          <w:highlight w:val="none"/>
        </w:rPr>
        <w:t>比选申请</w:t>
      </w:r>
      <w:r>
        <w:rPr>
          <w:rFonts w:ascii="Times New Roman" w:hAnsi="Times New Roman" w:cs="Times New Roman"/>
          <w:highlight w:val="none"/>
        </w:rPr>
        <w:t>预备会时间：</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B77AAB5">
      <w:pPr>
        <w:pStyle w:val="11"/>
        <w:spacing w:line="360" w:lineRule="auto"/>
        <w:ind w:firstLine="420" w:firstLineChars="200"/>
        <w:rPr>
          <w:rFonts w:ascii="Times New Roman" w:hAnsi="Times New Roman" w:cs="Times New Roman"/>
          <w:highlight w:val="none"/>
        </w:rPr>
      </w:pPr>
      <w:r>
        <w:rPr>
          <w:rFonts w:ascii="Times New Roman" w:hAnsi="Times New Roman" w:cs="Times New Roman"/>
          <w:highlight w:val="none"/>
        </w:rPr>
        <w:t>6.2</w:t>
      </w:r>
      <w:r>
        <w:rPr>
          <w:rFonts w:hint="eastAsia" w:ascii="Times New Roman" w:hAnsi="Times New Roman" w:cs="Times New Roman"/>
          <w:highlight w:val="none"/>
        </w:rPr>
        <w:t>比选申请文件</w:t>
      </w:r>
      <w:r>
        <w:rPr>
          <w:rFonts w:ascii="Times New Roman" w:hAnsi="Times New Roman" w:cs="Times New Roman"/>
          <w:highlight w:val="none"/>
        </w:rPr>
        <w:t>的递交</w:t>
      </w:r>
    </w:p>
    <w:p w14:paraId="12A06B01">
      <w:pPr>
        <w:pStyle w:val="11"/>
        <w:autoSpaceDE w:val="0"/>
        <w:autoSpaceDN w:val="0"/>
        <w:spacing w:line="360" w:lineRule="auto"/>
        <w:ind w:firstLine="630" w:firstLineChars="300"/>
        <w:rPr>
          <w:rFonts w:ascii="Times New Roman" w:hAnsi="Times New Roman" w:cs="Times New Roman"/>
          <w:highlight w:val="none"/>
        </w:rPr>
      </w:pPr>
      <w:r>
        <w:rPr>
          <w:rFonts w:ascii="Times New Roman" w:hAnsi="Times New Roman" w:cs="Times New Roman"/>
          <w:highlight w:val="none"/>
        </w:rPr>
        <w:t>6.2.1比选申请文件递交截止时间：202</w:t>
      </w:r>
      <w:r>
        <w:rPr>
          <w:rFonts w:hint="eastAsia" w:ascii="Times New Roman" w:hAnsi="Times New Roman" w:cs="Times New Roman"/>
          <w:highlight w:val="none"/>
          <w:lang w:val="en-US" w:eastAsia="zh-CN"/>
        </w:rPr>
        <w:t>5</w:t>
      </w:r>
      <w:r>
        <w:rPr>
          <w:rFonts w:ascii="Times New Roman" w:hAnsi="Times New Roman" w:cs="Times New Roman"/>
          <w:highlight w:val="none"/>
        </w:rPr>
        <w:t>年</w:t>
      </w:r>
      <w:r>
        <w:rPr>
          <w:rFonts w:hint="eastAsia" w:ascii="Times New Roman" w:hAnsi="Times New Roman" w:cs="Times New Roman"/>
          <w:highlight w:val="none"/>
          <w:lang w:val="en-US" w:eastAsia="zh-CN"/>
        </w:rPr>
        <w:t>9</w:t>
      </w:r>
      <w:r>
        <w:rPr>
          <w:rFonts w:ascii="Times New Roman" w:hAnsi="Times New Roman" w:cs="Times New Roman"/>
          <w:highlight w:val="none"/>
        </w:rPr>
        <w:t>月</w:t>
      </w:r>
      <w:r>
        <w:rPr>
          <w:rFonts w:hint="eastAsia" w:ascii="Times New Roman" w:hAnsi="Times New Roman" w:cs="Times New Roman"/>
          <w:highlight w:val="none"/>
          <w:lang w:val="en-US" w:eastAsia="zh-CN"/>
        </w:rPr>
        <w:t>30</w:t>
      </w:r>
      <w:r>
        <w:rPr>
          <w:rFonts w:ascii="Times New Roman" w:hAnsi="Times New Roman" w:cs="Times New Roman"/>
          <w:highlight w:val="none"/>
        </w:rPr>
        <w:t>日</w:t>
      </w:r>
      <w:r>
        <w:rPr>
          <w:rFonts w:hint="eastAsia" w:ascii="Times New Roman" w:hAnsi="Times New Roman" w:cs="Times New Roman"/>
          <w:highlight w:val="none"/>
          <w:lang w:val="en-US" w:eastAsia="zh-CN"/>
        </w:rPr>
        <w:t>9</w:t>
      </w:r>
      <w:r>
        <w:rPr>
          <w:rFonts w:ascii="Times New Roman" w:hAnsi="Times New Roman" w:cs="Times New Roman"/>
          <w:highlight w:val="none"/>
        </w:rPr>
        <w:t>时</w:t>
      </w:r>
      <w:r>
        <w:rPr>
          <w:rFonts w:hint="eastAsia" w:ascii="Times New Roman" w:hAnsi="Times New Roman" w:cs="Times New Roman"/>
          <w:highlight w:val="none"/>
          <w:lang w:val="en-US" w:eastAsia="zh-CN"/>
        </w:rPr>
        <w:t>30</w:t>
      </w:r>
      <w:r>
        <w:rPr>
          <w:rFonts w:ascii="Times New Roman" w:hAnsi="Times New Roman" w:cs="Times New Roman"/>
          <w:highlight w:val="none"/>
        </w:rPr>
        <w:t>分</w:t>
      </w:r>
      <w:r>
        <w:rPr>
          <w:rFonts w:hint="eastAsia" w:ascii="Times New Roman" w:hAnsi="Times New Roman" w:cs="Times New Roman"/>
          <w:highlight w:val="none"/>
        </w:rPr>
        <w:t>。</w:t>
      </w:r>
    </w:p>
    <w:p w14:paraId="2D222627">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6.2.2</w:t>
      </w:r>
      <w:r>
        <w:rPr>
          <w:rFonts w:ascii="Times New Roman" w:hAnsi="Times New Roman" w:cs="Times New Roman"/>
          <w:highlight w:val="none"/>
        </w:rPr>
        <w:t>递交地点：</w:t>
      </w:r>
      <w:r>
        <w:rPr>
          <w:rFonts w:ascii="Times New Roman" w:hAnsi="Times New Roman" w:cs="Times New Roman"/>
          <w:color w:val="000000"/>
          <w:szCs w:val="21"/>
          <w:highlight w:val="none"/>
        </w:rPr>
        <w:t>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r>
        <w:rPr>
          <w:rFonts w:hint="eastAsia" w:ascii="Times New Roman" w:hAnsi="Times New Roman" w:cs="Times New Roman"/>
          <w:highlight w:val="none"/>
        </w:rPr>
        <w:t>。</w:t>
      </w:r>
    </w:p>
    <w:p w14:paraId="57879164">
      <w:pPr>
        <w:pStyle w:val="11"/>
        <w:numPr>
          <w:ilvl w:val="255"/>
          <w:numId w:val="0"/>
        </w:numPr>
        <w:spacing w:line="360" w:lineRule="auto"/>
        <w:ind w:firstLine="630" w:firstLineChars="300"/>
        <w:rPr>
          <w:rFonts w:ascii="Times New Roman" w:hAnsi="Times New Roman" w:cs="Times New Roman"/>
          <w:highlight w:val="none"/>
        </w:rPr>
      </w:pPr>
      <w:r>
        <w:rPr>
          <w:rFonts w:hint="eastAsia" w:ascii="Times New Roman" w:hAnsi="Times New Roman" w:cs="Times New Roman"/>
          <w:highlight w:val="none"/>
        </w:rPr>
        <w:t>6.2.3</w:t>
      </w:r>
      <w:r>
        <w:rPr>
          <w:rFonts w:ascii="Times New Roman" w:hAnsi="Times New Roman" w:cs="Times New Roman"/>
          <w:highlight w:val="none"/>
        </w:rPr>
        <w:t>逾期递交的或者未递交到指定地点的比选申请文件，比选人不予受理</w:t>
      </w:r>
      <w:r>
        <w:rPr>
          <w:rFonts w:hint="eastAsia" w:ascii="Times New Roman" w:hAnsi="Times New Roman" w:cs="Times New Roman"/>
          <w:highlight w:val="none"/>
        </w:rPr>
        <w:t>。</w:t>
      </w:r>
    </w:p>
    <w:p w14:paraId="6BAD5031">
      <w:pPr>
        <w:pStyle w:val="11"/>
        <w:spacing w:line="360" w:lineRule="auto"/>
        <w:ind w:firstLine="420" w:firstLineChars="200"/>
        <w:rPr>
          <w:rFonts w:ascii="Times New Roman" w:hAnsi="Times New Roman" w:cs="Times New Roman"/>
          <w:highlight w:val="none"/>
        </w:rPr>
      </w:pPr>
      <w:r>
        <w:rPr>
          <w:rFonts w:hint="eastAsia" w:ascii="Times New Roman" w:hAnsi="Times New Roman" w:cs="Times New Roman"/>
          <w:highlight w:val="none"/>
        </w:rPr>
        <w:t xml:space="preserve">  6.2.4</w:t>
      </w:r>
      <w:r>
        <w:rPr>
          <w:rFonts w:ascii="Times New Roman" w:hAnsi="Times New Roman" w:cs="Times New Roman"/>
          <w:highlight w:val="none"/>
        </w:rPr>
        <w:t>比选申请人如未参加开标的将视为默认开标结果。</w:t>
      </w:r>
    </w:p>
    <w:p w14:paraId="19002257">
      <w:pPr>
        <w:numPr>
          <w:ilvl w:val="0"/>
          <w:numId w:val="1"/>
        </w:num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发布公告的媒介</w:t>
      </w:r>
    </w:p>
    <w:p w14:paraId="0963FD9A">
      <w:pPr>
        <w:pStyle w:val="2"/>
        <w:widowControl/>
        <w:shd w:val="clear" w:color="auto" w:fill="FFFFFF"/>
        <w:ind w:firstLine="560" w:firstLineChars="200"/>
        <w:jc w:val="left"/>
        <w:rPr>
          <w:kern w:val="0"/>
          <w:szCs w:val="21"/>
          <w:highlight w:val="none"/>
        </w:rPr>
      </w:pPr>
      <w:r>
        <w:rPr>
          <w:rFonts w:hint="eastAsia" w:ascii="Times New Roman" w:hAnsi="Times New Roman" w:cs="Times New Roman"/>
          <w:b/>
          <w:color w:val="000000"/>
          <w:sz w:val="28"/>
          <w:szCs w:val="28"/>
          <w:highlight w:val="none"/>
          <w:lang w:val="en-US" w:eastAsia="zh-CN"/>
        </w:rPr>
        <w:t xml:space="preserve">  </w:t>
      </w:r>
      <w:bookmarkStart w:id="1" w:name="OLE_LINK2"/>
      <w:r>
        <w:rPr>
          <w:b w:val="0"/>
          <w:bCs w:val="0"/>
          <w:kern w:val="2"/>
          <w:sz w:val="21"/>
          <w:szCs w:val="21"/>
          <w:highlight w:val="none"/>
        </w:rPr>
        <w:t>本次比选公</w:t>
      </w:r>
      <w:r>
        <w:rPr>
          <w:rFonts w:hint="eastAsia"/>
          <w:b w:val="0"/>
          <w:bCs w:val="0"/>
          <w:kern w:val="2"/>
          <w:sz w:val="21"/>
          <w:szCs w:val="21"/>
          <w:highlight w:val="none"/>
        </w:rPr>
        <w:t>告</w:t>
      </w:r>
      <w:r>
        <w:rPr>
          <w:rFonts w:hint="eastAsia"/>
          <w:b w:val="0"/>
          <w:bCs w:val="0"/>
          <w:kern w:val="2"/>
          <w:sz w:val="21"/>
          <w:szCs w:val="21"/>
          <w:highlight w:val="none"/>
          <w:lang w:eastAsia="zh-CN"/>
        </w:rPr>
        <w:t>、</w:t>
      </w:r>
      <w:r>
        <w:rPr>
          <w:rFonts w:hint="eastAsia"/>
          <w:b w:val="0"/>
          <w:bCs w:val="0"/>
          <w:kern w:val="2"/>
          <w:sz w:val="21"/>
          <w:szCs w:val="21"/>
          <w:highlight w:val="none"/>
          <w:lang w:val="en-US" w:eastAsia="zh-CN"/>
        </w:rPr>
        <w:t>比选文件</w:t>
      </w:r>
      <w:r>
        <w:rPr>
          <w:rFonts w:hint="eastAsia"/>
          <w:b w:val="0"/>
          <w:bCs w:val="0"/>
          <w:kern w:val="2"/>
          <w:sz w:val="21"/>
          <w:szCs w:val="21"/>
          <w:highlight w:val="none"/>
        </w:rPr>
        <w:t>和相关公示在四川</w:t>
      </w:r>
      <w:r>
        <w:rPr>
          <w:b w:val="0"/>
          <w:bCs w:val="0"/>
          <w:kern w:val="2"/>
          <w:sz w:val="21"/>
          <w:szCs w:val="21"/>
          <w:highlight w:val="none"/>
        </w:rPr>
        <w:t>蜀道新能源科技发展有限公司网站（http://www.sdxnykj.cn/）上发布。</w:t>
      </w:r>
    </w:p>
    <w:bookmarkEnd w:id="1"/>
    <w:p w14:paraId="48AFFB09">
      <w:pPr>
        <w:spacing w:line="360" w:lineRule="auto"/>
        <w:outlineLvl w:val="0"/>
        <w:rPr>
          <w:rFonts w:ascii="Times New Roman" w:hAnsi="Times New Roman" w:cs="Times New Roman"/>
          <w:b/>
          <w:color w:val="000000"/>
          <w:sz w:val="28"/>
          <w:szCs w:val="28"/>
          <w:highlight w:val="none"/>
        </w:rPr>
      </w:pPr>
      <w:r>
        <w:rPr>
          <w:rFonts w:ascii="Times New Roman" w:hAnsi="Times New Roman" w:cs="Times New Roman"/>
          <w:b/>
          <w:color w:val="000000"/>
          <w:sz w:val="28"/>
          <w:szCs w:val="28"/>
          <w:highlight w:val="none"/>
        </w:rPr>
        <w:t>8．联系方式</w:t>
      </w:r>
    </w:p>
    <w:p w14:paraId="5974DFD8">
      <w:pPr>
        <w:spacing w:line="360" w:lineRule="auto"/>
        <w:ind w:right="480"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3876D7C3">
      <w:pPr>
        <w:spacing w:line="360" w:lineRule="auto"/>
        <w:ind w:right="480"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AFD7B8">
      <w:pPr>
        <w:spacing w:line="360" w:lineRule="auto"/>
        <w:ind w:right="480" w:firstLine="420" w:firstLineChars="200"/>
        <w:rPr>
          <w:rFonts w:hint="eastAsia"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06F5A4C3">
      <w:pPr>
        <w:widowControl/>
        <w:spacing w:line="360" w:lineRule="auto"/>
        <w:ind w:right="0" w:firstLine="420" w:firstLineChars="200"/>
        <w:rPr>
          <w:rFonts w:hint="default" w:ascii="宋体" w:hAnsi="宋体" w:eastAsia="宋体" w:cs="Times New Roman"/>
          <w:kern w:val="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eastAsia="宋体" w:cs="Times New Roman"/>
          <w:color w:val="000000"/>
          <w:szCs w:val="21"/>
          <w:highlight w:val="none"/>
        </w:rPr>
        <w:t>：</w:t>
      </w:r>
      <w:bookmarkStart w:id="2" w:name="OLE_LINK3"/>
      <w:r>
        <w:rPr>
          <w:rFonts w:hint="eastAsia" w:ascii="Times New Roman" w:hAnsi="Times New Roman" w:cs="Times New Roman"/>
          <w:color w:val="000000"/>
          <w:szCs w:val="21"/>
          <w:highlight w:val="none"/>
          <w:lang w:eastAsia="zh-CN"/>
        </w:rPr>
        <w:t>028-63911700</w:t>
      </w:r>
      <w:bookmarkEnd w:id="2"/>
    </w:p>
    <w:p w14:paraId="60337F50">
      <w:pPr>
        <w:spacing w:line="360" w:lineRule="auto"/>
        <w:ind w:right="480" w:firstLine="420" w:firstLineChars="200"/>
        <w:rPr>
          <w:rFonts w:hint="eastAsia" w:ascii="宋体" w:hAnsi="宋体" w:cs="Times New Roman"/>
          <w:kern w:val="0"/>
          <w:szCs w:val="21"/>
          <w:highlight w:val="none"/>
        </w:rPr>
      </w:pPr>
      <w:r>
        <w:rPr>
          <w:rFonts w:hint="eastAsia" w:ascii="宋体" w:hAnsi="宋体" w:cs="Times New Roman"/>
          <w:kern w:val="0"/>
          <w:szCs w:val="21"/>
          <w:highlight w:val="none"/>
        </w:rPr>
        <w:t>监督机构：四川蜀道新能源科技发展有限公司招标</w:t>
      </w:r>
      <w:r>
        <w:rPr>
          <w:rFonts w:hint="eastAsia" w:ascii="宋体" w:hAnsi="宋体" w:cs="Times New Roman"/>
          <w:kern w:val="0"/>
          <w:szCs w:val="21"/>
          <w:highlight w:val="none"/>
          <w:lang w:eastAsia="zh-CN"/>
        </w:rPr>
        <w:t>工作</w:t>
      </w:r>
      <w:r>
        <w:rPr>
          <w:rFonts w:hint="eastAsia" w:ascii="宋体" w:hAnsi="宋体" w:cs="Times New Roman"/>
          <w:kern w:val="0"/>
          <w:szCs w:val="21"/>
          <w:highlight w:val="none"/>
        </w:rPr>
        <w:t>领导小组</w:t>
      </w:r>
    </w:p>
    <w:p w14:paraId="177902C5">
      <w:pPr>
        <w:spacing w:line="360" w:lineRule="auto"/>
        <w:ind w:right="480" w:firstLine="420" w:firstLineChars="200"/>
        <w:rPr>
          <w:rFonts w:hint="default" w:ascii="Times New Roman" w:hAnsi="Times New Roman" w:eastAsia="宋体" w:cs="Times New Roman"/>
          <w:color w:val="auto"/>
          <w:szCs w:val="21"/>
          <w:highlight w:val="none"/>
          <w:lang w:val="en-US" w:eastAsia="zh-CN"/>
        </w:rPr>
      </w:pPr>
      <w:r>
        <w:rPr>
          <w:rFonts w:hint="eastAsia" w:ascii="宋体" w:hAnsi="宋体" w:cs="Times New Roman"/>
          <w:kern w:val="0"/>
          <w:szCs w:val="21"/>
          <w:highlight w:val="none"/>
        </w:rPr>
        <w:t>监督电</w:t>
      </w:r>
      <w:r>
        <w:rPr>
          <w:rFonts w:hint="eastAsia" w:ascii="宋体" w:hAnsi="宋体" w:cs="Times New Roman"/>
          <w:color w:val="auto"/>
          <w:kern w:val="0"/>
          <w:szCs w:val="21"/>
          <w:highlight w:val="none"/>
        </w:rPr>
        <w:t>话：</w:t>
      </w:r>
      <w:r>
        <w:rPr>
          <w:rFonts w:hint="eastAsia" w:ascii="Times New Roman" w:hAnsi="Times New Roman" w:cs="Times New Roman"/>
          <w:color w:val="auto"/>
          <w:kern w:val="2"/>
          <w:szCs w:val="21"/>
          <w:highlight w:val="none"/>
        </w:rPr>
        <w:t>028-</w:t>
      </w:r>
      <w:r>
        <w:rPr>
          <w:rFonts w:hint="eastAsia" w:ascii="Times New Roman" w:hAnsi="Times New Roman" w:cs="Times New Roman"/>
          <w:color w:val="auto"/>
          <w:kern w:val="2"/>
          <w:szCs w:val="21"/>
          <w:highlight w:val="none"/>
          <w:lang w:eastAsia="zh-CN"/>
        </w:rPr>
        <w:t>61520906</w:t>
      </w:r>
    </w:p>
    <w:p w14:paraId="61FFF979">
      <w:pPr>
        <w:pStyle w:val="20"/>
        <w:ind w:firstLine="0" w:firstLineChars="0"/>
        <w:rPr>
          <w:rFonts w:hint="eastAsia"/>
          <w:highlight w:val="none"/>
        </w:rPr>
      </w:pPr>
    </w:p>
    <w:p w14:paraId="64D01A84">
      <w:pPr>
        <w:tabs>
          <w:tab w:val="left" w:pos="5220"/>
          <w:tab w:val="left" w:pos="5400"/>
          <w:tab w:val="left" w:pos="5580"/>
        </w:tabs>
        <w:autoSpaceDE w:val="0"/>
        <w:autoSpaceDN w:val="0"/>
        <w:adjustRightInd w:val="0"/>
        <w:spacing w:line="360" w:lineRule="auto"/>
        <w:jc w:val="right"/>
        <w:rPr>
          <w:rFonts w:ascii="Times New Roman" w:hAnsi="Times New Roman" w:cs="Times New Roman"/>
          <w:szCs w:val="21"/>
          <w:highlight w:val="none"/>
        </w:rPr>
      </w:pPr>
      <w:r>
        <w:rPr>
          <w:rFonts w:hint="eastAsia" w:ascii="Times New Roman" w:hAnsi="Times New Roman" w:cs="Times New Roman"/>
          <w:szCs w:val="21"/>
          <w:highlight w:val="none"/>
        </w:rPr>
        <w:t>比选人</w:t>
      </w:r>
      <w:r>
        <w:rPr>
          <w:rFonts w:ascii="Times New Roman" w:hAnsi="Times New Roman" w:cs="Times New Roman"/>
          <w:szCs w:val="21"/>
          <w:highlight w:val="none"/>
        </w:rPr>
        <w:t>：四川蜀道新能源科技发展有限公司</w:t>
      </w:r>
    </w:p>
    <w:p w14:paraId="2CB97B42">
      <w:pPr>
        <w:tabs>
          <w:tab w:val="left" w:pos="5220"/>
          <w:tab w:val="left" w:pos="5400"/>
          <w:tab w:val="left" w:pos="5580"/>
        </w:tabs>
        <w:autoSpaceDE w:val="0"/>
        <w:autoSpaceDN w:val="0"/>
        <w:adjustRightInd w:val="0"/>
        <w:jc w:val="right"/>
        <w:rPr>
          <w:sz w:val="36"/>
          <w:szCs w:val="36"/>
          <w:highlight w:val="red"/>
        </w:rPr>
      </w:pPr>
      <w:r>
        <w:rPr>
          <w:rFonts w:ascii="Times New Roman" w:hAnsi="Times New Roman" w:cs="Times New Roman"/>
          <w:szCs w:val="21"/>
          <w:highlight w:val="none"/>
        </w:rPr>
        <w:t xml:space="preserve">     </w:t>
      </w:r>
      <w:r>
        <w:rPr>
          <w:rFonts w:hint="eastAsia" w:ascii="Times New Roman" w:hAnsi="Times New Roman" w:cs="Times New Roman"/>
          <w:szCs w:val="21"/>
          <w:highlight w:val="none"/>
        </w:rPr>
        <w:t xml:space="preserve"> </w:t>
      </w:r>
      <w:r>
        <w:rPr>
          <w:rFonts w:hint="eastAsia" w:ascii="Times New Roman" w:hAnsi="Times New Roman" w:cs="Times New Roman"/>
          <w:szCs w:val="21"/>
          <w:highlight w:val="none"/>
          <w:lang w:eastAsia="zh-CN"/>
        </w:rPr>
        <w:t>202</w:t>
      </w: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年</w:t>
      </w:r>
      <w:r>
        <w:rPr>
          <w:rFonts w:hint="eastAsia" w:ascii="Times New Roman" w:hAnsi="Times New Roman" w:cs="Times New Roman"/>
          <w:szCs w:val="21"/>
          <w:highlight w:val="none"/>
          <w:lang w:val="en-US" w:eastAsia="zh-CN"/>
        </w:rPr>
        <w:t>9</w:t>
      </w:r>
      <w:r>
        <w:rPr>
          <w:rFonts w:ascii="Times New Roman" w:hAnsi="Times New Roman" w:cs="Times New Roman"/>
          <w:szCs w:val="21"/>
          <w:highlight w:val="none"/>
        </w:rPr>
        <w:t>月</w:t>
      </w:r>
      <w:r>
        <w:rPr>
          <w:rFonts w:hint="eastAsia" w:ascii="Times New Roman" w:hAnsi="Times New Roman" w:cs="Times New Roman"/>
          <w:szCs w:val="21"/>
          <w:highlight w:val="none"/>
          <w:lang w:val="en-US" w:eastAsia="zh-CN"/>
        </w:rPr>
        <w:t>24</w:t>
      </w:r>
      <w:r>
        <w:rPr>
          <w:rFonts w:ascii="Times New Roman" w:hAnsi="Times New Roman" w:cs="Times New Roman"/>
          <w:szCs w:val="21"/>
          <w:highlight w:val="none"/>
        </w:rPr>
        <w:t>日</w:t>
      </w:r>
    </w:p>
    <w:p w14:paraId="3C06C6F4">
      <w:pPr>
        <w:pStyle w:val="2"/>
        <w:jc w:val="center"/>
        <w:rPr>
          <w:sz w:val="36"/>
          <w:szCs w:val="36"/>
          <w:highlight w:val="none"/>
        </w:rPr>
      </w:pPr>
    </w:p>
    <w:p w14:paraId="19B6A97F">
      <w:pPr>
        <w:pStyle w:val="2"/>
        <w:jc w:val="center"/>
        <w:rPr>
          <w:sz w:val="36"/>
          <w:szCs w:val="36"/>
          <w:highlight w:val="none"/>
        </w:rPr>
      </w:pPr>
    </w:p>
    <w:p w14:paraId="4F272329">
      <w:pPr>
        <w:rPr>
          <w:sz w:val="36"/>
          <w:szCs w:val="36"/>
          <w:highlight w:val="none"/>
        </w:rPr>
      </w:pPr>
    </w:p>
    <w:p w14:paraId="2F1A8CC5">
      <w:pPr>
        <w:pStyle w:val="14"/>
      </w:pPr>
    </w:p>
    <w:p w14:paraId="7FE9C8CC"/>
    <w:p w14:paraId="411FB021"/>
    <w:p w14:paraId="2B103F31"/>
    <w:p w14:paraId="0306F0AD"/>
    <w:p w14:paraId="152A487B">
      <w:pPr>
        <w:rPr>
          <w:sz w:val="36"/>
          <w:szCs w:val="36"/>
          <w:highlight w:val="none"/>
        </w:rPr>
      </w:pPr>
    </w:p>
    <w:p w14:paraId="2AD631BC"/>
    <w:p w14:paraId="45960ED0">
      <w:pPr>
        <w:pStyle w:val="2"/>
        <w:jc w:val="center"/>
        <w:rPr>
          <w:bCs w:val="0"/>
          <w:color w:val="000000"/>
          <w:sz w:val="28"/>
          <w:szCs w:val="28"/>
          <w:highlight w:val="none"/>
        </w:rPr>
      </w:pPr>
      <w:r>
        <w:rPr>
          <w:sz w:val="36"/>
          <w:szCs w:val="36"/>
          <w:highlight w:val="none"/>
        </w:rPr>
        <w:t xml:space="preserve">第二章   </w:t>
      </w:r>
      <w:r>
        <w:rPr>
          <w:rFonts w:hint="eastAsia"/>
          <w:sz w:val="36"/>
          <w:szCs w:val="36"/>
          <w:highlight w:val="none"/>
        </w:rPr>
        <w:t>比选申请人</w:t>
      </w:r>
      <w:r>
        <w:rPr>
          <w:sz w:val="36"/>
          <w:szCs w:val="36"/>
          <w:highlight w:val="none"/>
        </w:rPr>
        <w:t>须知</w:t>
      </w:r>
    </w:p>
    <w:p w14:paraId="096AD842">
      <w:pPr>
        <w:pStyle w:val="3"/>
        <w:spacing w:line="240" w:lineRule="auto"/>
        <w:jc w:val="center"/>
        <w:rPr>
          <w:rFonts w:hint="eastAsia" w:ascii="黑体" w:hAnsi="黑体" w:eastAsia="黑体" w:cs="黑体"/>
          <w:bCs w:val="0"/>
          <w:color w:val="000000"/>
          <w:sz w:val="28"/>
          <w:szCs w:val="28"/>
          <w:highlight w:val="none"/>
        </w:rPr>
      </w:pPr>
      <w:r>
        <w:rPr>
          <w:rFonts w:hint="eastAsia" w:ascii="黑体" w:hAnsi="黑体" w:eastAsia="黑体" w:cs="黑体"/>
          <w:bCs w:val="0"/>
          <w:color w:val="000000"/>
          <w:sz w:val="28"/>
          <w:szCs w:val="28"/>
          <w:highlight w:val="none"/>
        </w:rPr>
        <w:t>比选申请人须知前附表</w:t>
      </w:r>
    </w:p>
    <w:p w14:paraId="02BCA30C">
      <w:pPr>
        <w:tabs>
          <w:tab w:val="left" w:pos="5220"/>
          <w:tab w:val="left" w:pos="5400"/>
          <w:tab w:val="left" w:pos="5580"/>
        </w:tabs>
        <w:autoSpaceDE w:val="0"/>
        <w:autoSpaceDN w:val="0"/>
        <w:ind w:firstLine="420" w:firstLineChars="200"/>
        <w:rPr>
          <w:rFonts w:ascii="Times New Roman" w:hAnsi="Times New Roman" w:cs="Times New Roman"/>
          <w:highlight w:val="none"/>
        </w:rPr>
      </w:pPr>
      <w:r>
        <w:rPr>
          <w:rFonts w:ascii="Times New Roman" w:hAnsi="Times New Roman" w:cs="Times New Roman"/>
          <w:kern w:val="0"/>
          <w:szCs w:val="21"/>
          <w:highlight w:val="none"/>
        </w:rPr>
        <w:t>《</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须知前附表》是用于进一步明确《</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须知》正文中的未尽事宜，由</w:t>
      </w:r>
      <w:r>
        <w:rPr>
          <w:rFonts w:hint="eastAsia" w:ascii="Times New Roman" w:hAnsi="Times New Roman" w:cs="Times New Roman"/>
          <w:kern w:val="0"/>
          <w:szCs w:val="21"/>
          <w:highlight w:val="none"/>
        </w:rPr>
        <w:t>比选人</w:t>
      </w:r>
      <w:r>
        <w:rPr>
          <w:rFonts w:ascii="Times New Roman" w:hAnsi="Times New Roman" w:cs="Times New Roman"/>
          <w:kern w:val="0"/>
          <w:szCs w:val="21"/>
          <w:highlight w:val="none"/>
        </w:rPr>
        <w:t>根据本项目具体特点和实际需要编制和填写，与《</w:t>
      </w:r>
      <w:r>
        <w:rPr>
          <w:rFonts w:hint="eastAsia" w:ascii="Times New Roman" w:hAnsi="Times New Roman" w:cs="Times New Roman"/>
          <w:kern w:val="0"/>
          <w:szCs w:val="21"/>
          <w:highlight w:val="none"/>
        </w:rPr>
        <w:t>比选申请人</w:t>
      </w:r>
      <w:r>
        <w:rPr>
          <w:rFonts w:ascii="Times New Roman" w:hAnsi="Times New Roman" w:cs="Times New Roman"/>
          <w:kern w:val="0"/>
          <w:szCs w:val="21"/>
          <w:highlight w:val="none"/>
        </w:rPr>
        <w:t>须知》正文无抵触且与</w:t>
      </w:r>
      <w:r>
        <w:rPr>
          <w:rFonts w:hint="eastAsia" w:ascii="Times New Roman" w:hAnsi="Times New Roman" w:cs="Times New Roman"/>
          <w:kern w:val="0"/>
          <w:szCs w:val="21"/>
          <w:highlight w:val="none"/>
        </w:rPr>
        <w:t>比选</w:t>
      </w:r>
      <w:r>
        <w:rPr>
          <w:rFonts w:ascii="Times New Roman" w:hAnsi="Times New Roman" w:cs="Times New Roman"/>
          <w:kern w:val="0"/>
          <w:szCs w:val="21"/>
          <w:highlight w:val="none"/>
        </w:rPr>
        <w:t>文件其他章节相衔接。前附表内容与须知不一致的，以前附表内容为准。</w:t>
      </w:r>
    </w:p>
    <w:tbl>
      <w:tblPr>
        <w:tblStyle w:val="15"/>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962"/>
        <w:gridCol w:w="6895"/>
      </w:tblGrid>
      <w:tr w14:paraId="059E9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3D2CB2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62" w:type="dxa"/>
            <w:vAlign w:val="center"/>
          </w:tcPr>
          <w:p w14:paraId="7D8E31BD">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 款 名 称</w:t>
            </w:r>
          </w:p>
        </w:tc>
        <w:tc>
          <w:tcPr>
            <w:tcW w:w="6895" w:type="dxa"/>
            <w:vAlign w:val="center"/>
          </w:tcPr>
          <w:p w14:paraId="2D0874EB">
            <w:pPr>
              <w:spacing w:line="360" w:lineRule="auto"/>
              <w:ind w:left="359" w:leftChars="171"/>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编 列 内 容</w:t>
            </w:r>
          </w:p>
        </w:tc>
      </w:tr>
      <w:tr w14:paraId="076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863" w:type="dxa"/>
            <w:vAlign w:val="center"/>
          </w:tcPr>
          <w:p w14:paraId="4A55CE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p>
        </w:tc>
        <w:tc>
          <w:tcPr>
            <w:tcW w:w="1962" w:type="dxa"/>
            <w:vAlign w:val="center"/>
          </w:tcPr>
          <w:p w14:paraId="4166E8E4">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p>
        </w:tc>
        <w:tc>
          <w:tcPr>
            <w:tcW w:w="6895" w:type="dxa"/>
            <w:vAlign w:val="center"/>
          </w:tcPr>
          <w:p w14:paraId="3E4F90A1">
            <w:pPr>
              <w:spacing w:line="360" w:lineRule="auto"/>
              <w:ind w:right="48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：四川蜀道新能源科技发展有限公司</w:t>
            </w:r>
          </w:p>
          <w:p w14:paraId="74588815">
            <w:pPr>
              <w:spacing w:line="360" w:lineRule="auto"/>
              <w:ind w:right="480"/>
              <w:rPr>
                <w:rFonts w:ascii="Times New Roman" w:hAnsi="Times New Roman" w:cs="Times New Roman"/>
                <w:color w:val="000000"/>
                <w:szCs w:val="21"/>
                <w:highlight w:val="none"/>
              </w:rPr>
            </w:pPr>
            <w:r>
              <w:rPr>
                <w:rFonts w:ascii="Times New Roman" w:hAnsi="Times New Roman" w:cs="Times New Roman"/>
                <w:color w:val="000000"/>
                <w:szCs w:val="21"/>
                <w:highlight w:val="none"/>
              </w:rPr>
              <w:t>地  址：</w:t>
            </w:r>
            <w:r>
              <w:rPr>
                <w:rFonts w:ascii="Times New Roman" w:hAnsi="Times New Roman" w:cs="Times New Roman"/>
                <w:color w:val="000000"/>
                <w:kern w:val="0"/>
                <w:szCs w:val="21"/>
                <w:highlight w:val="none"/>
              </w:rPr>
              <w:t>成都市高新区创业路1号剑恒发展中心</w:t>
            </w:r>
            <w:r>
              <w:rPr>
                <w:rFonts w:hint="eastAsia" w:ascii="Times New Roman" w:hAnsi="Times New Roman" w:cs="Times New Roman"/>
                <w:color w:val="000000"/>
                <w:kern w:val="0"/>
                <w:szCs w:val="21"/>
                <w:highlight w:val="none"/>
                <w:lang w:val="en-US" w:eastAsia="zh-CN"/>
              </w:rPr>
              <w:t>2</w:t>
            </w:r>
            <w:r>
              <w:rPr>
                <w:rFonts w:ascii="Times New Roman" w:hAnsi="Times New Roman" w:cs="Times New Roman"/>
                <w:color w:val="000000"/>
                <w:kern w:val="0"/>
                <w:szCs w:val="21"/>
                <w:highlight w:val="none"/>
              </w:rPr>
              <w:t>楼</w:t>
            </w:r>
          </w:p>
          <w:p w14:paraId="0E2BA057">
            <w:pPr>
              <w:spacing w:line="360" w:lineRule="auto"/>
              <w:ind w:right="480"/>
              <w:rPr>
                <w:rFonts w:hint="default" w:ascii="Times New Roman" w:hAnsi="Times New Roman" w:eastAsia="宋体" w:cs="Times New Roman"/>
                <w:color w:val="000000"/>
                <w:szCs w:val="21"/>
                <w:highlight w:val="red"/>
                <w:lang w:val="en-US" w:eastAsia="zh-CN"/>
              </w:rPr>
            </w:pPr>
            <w:r>
              <w:rPr>
                <w:rFonts w:ascii="Times New Roman" w:hAnsi="Times New Roman" w:cs="Times New Roman"/>
                <w:color w:val="000000"/>
                <w:szCs w:val="21"/>
                <w:highlight w:val="none"/>
              </w:rPr>
              <w:t>联系人：</w:t>
            </w:r>
            <w:r>
              <w:rPr>
                <w:rFonts w:hint="eastAsia" w:ascii="Times New Roman" w:hAnsi="Times New Roman" w:cs="Times New Roman"/>
                <w:color w:val="000000"/>
                <w:szCs w:val="21"/>
                <w:highlight w:val="none"/>
                <w:lang w:val="en-US" w:eastAsia="zh-CN"/>
              </w:rPr>
              <w:t>鲜女士</w:t>
            </w:r>
          </w:p>
          <w:p w14:paraId="5F3BD559">
            <w:pPr>
              <w:spacing w:line="360" w:lineRule="auto"/>
              <w:ind w:right="480"/>
              <w:rPr>
                <w:rFonts w:hint="default" w:ascii="Times New Roman" w:hAnsi="Times New Roman" w:eastAsia="宋体" w:cs="Times New Roman"/>
                <w:color w:val="000000"/>
                <w:szCs w:val="21"/>
                <w:highlight w:val="none"/>
                <w:lang w:val="en-US" w:eastAsia="zh-CN"/>
              </w:rPr>
            </w:pPr>
            <w:r>
              <w:rPr>
                <w:rFonts w:ascii="Times New Roman" w:hAnsi="Times New Roman" w:cs="Times New Roman"/>
                <w:color w:val="000000"/>
                <w:szCs w:val="21"/>
                <w:highlight w:val="none"/>
              </w:rPr>
              <w:t>电  话：</w:t>
            </w:r>
            <w:r>
              <w:rPr>
                <w:rFonts w:hint="eastAsia" w:ascii="Times New Roman" w:hAnsi="Times New Roman" w:cs="Times New Roman"/>
                <w:color w:val="000000"/>
                <w:szCs w:val="21"/>
                <w:highlight w:val="none"/>
                <w:lang w:eastAsia="zh-CN"/>
              </w:rPr>
              <w:t>028-63911700</w:t>
            </w:r>
          </w:p>
        </w:tc>
      </w:tr>
      <w:tr w14:paraId="1DC8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63" w:type="dxa"/>
            <w:vAlign w:val="center"/>
          </w:tcPr>
          <w:p w14:paraId="4BD8FD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p>
        </w:tc>
        <w:tc>
          <w:tcPr>
            <w:tcW w:w="1962" w:type="dxa"/>
            <w:vAlign w:val="center"/>
          </w:tcPr>
          <w:p w14:paraId="3446F2B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项目名称</w:t>
            </w:r>
          </w:p>
        </w:tc>
        <w:tc>
          <w:tcPr>
            <w:tcW w:w="6895" w:type="dxa"/>
            <w:vAlign w:val="center"/>
          </w:tcPr>
          <w:p w14:paraId="00283251">
            <w:pPr>
              <w:autoSpaceDE w:val="0"/>
              <w:autoSpaceDN w:val="0"/>
              <w:adjustRightInd w:val="0"/>
              <w:spacing w:line="360" w:lineRule="auto"/>
              <w:ind w:right="-214"/>
              <w:jc w:val="left"/>
              <w:rPr>
                <w:rFonts w:hint="default" w:eastAsia="宋体" w:cs="Times New Roman"/>
                <w:b w:val="0"/>
                <w:bCs w:val="0"/>
                <w:color w:val="000000"/>
                <w:kern w:val="0"/>
                <w:sz w:val="21"/>
                <w:szCs w:val="21"/>
                <w:highlight w:val="none"/>
                <w:lang w:val="en-US" w:eastAsia="zh-CN" w:bidi="en-US"/>
              </w:rPr>
            </w:pPr>
            <w:r>
              <w:rPr>
                <w:rFonts w:hint="default" w:eastAsia="宋体" w:cs="Times New Roman"/>
                <w:b w:val="0"/>
                <w:bCs w:val="0"/>
                <w:color w:val="000000"/>
                <w:kern w:val="0"/>
                <w:sz w:val="21"/>
                <w:szCs w:val="21"/>
                <w:highlight w:val="none"/>
                <w:lang w:val="en-US" w:eastAsia="zh-CN" w:bidi="en-US"/>
              </w:rPr>
              <w:t>G0615线久治至马尔康段高速公路刷经寺服务区充电站项目</w:t>
            </w:r>
          </w:p>
        </w:tc>
      </w:tr>
      <w:tr w14:paraId="5246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63" w:type="dxa"/>
            <w:vAlign w:val="center"/>
          </w:tcPr>
          <w:p w14:paraId="0FD4B4A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p>
        </w:tc>
        <w:tc>
          <w:tcPr>
            <w:tcW w:w="1962" w:type="dxa"/>
            <w:vAlign w:val="center"/>
          </w:tcPr>
          <w:p w14:paraId="085400A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建设地点</w:t>
            </w:r>
          </w:p>
        </w:tc>
        <w:tc>
          <w:tcPr>
            <w:tcW w:w="6895" w:type="dxa"/>
            <w:vAlign w:val="center"/>
          </w:tcPr>
          <w:p w14:paraId="18B6AC87">
            <w:pPr>
              <w:spacing w:line="360" w:lineRule="auto"/>
              <w:ind w:left="16" w:leftChars="8"/>
              <w:rPr>
                <w:rFonts w:hint="default" w:ascii="Times New Roman" w:hAnsi="Times New Roman" w:eastAsia="宋体" w:cs="Times New Roman"/>
                <w:color w:val="000000"/>
                <w:szCs w:val="21"/>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G0615线久治至马尔康段高速公路刷经寺</w:t>
            </w:r>
            <w:r>
              <w:rPr>
                <w:rFonts w:hint="eastAsia" w:cs="Times New Roman"/>
                <w:b w:val="0"/>
                <w:bCs w:val="0"/>
                <w:color w:val="000000"/>
                <w:kern w:val="0"/>
                <w:sz w:val="21"/>
                <w:szCs w:val="21"/>
                <w:highlight w:val="none"/>
                <w:lang w:val="en-US" w:eastAsia="zh-CN" w:bidi="en-US"/>
              </w:rPr>
              <w:t>服务区（双侧）</w:t>
            </w:r>
          </w:p>
        </w:tc>
      </w:tr>
      <w:tr w14:paraId="1AA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63" w:type="dxa"/>
            <w:vAlign w:val="center"/>
          </w:tcPr>
          <w:p w14:paraId="284EBB9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962" w:type="dxa"/>
            <w:vAlign w:val="center"/>
          </w:tcPr>
          <w:p w14:paraId="533CC7B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6895" w:type="dxa"/>
            <w:vAlign w:val="center"/>
          </w:tcPr>
          <w:p w14:paraId="29EC0670">
            <w:pPr>
              <w:numPr>
                <w:ilvl w:val="0"/>
                <w:numId w:val="0"/>
              </w:numPr>
              <w:spacing w:line="360" w:lineRule="auto"/>
              <w:ind w:right="0"/>
              <w:jc w:val="left"/>
              <w:rPr>
                <w:rFonts w:hint="default" w:ascii="Times New Roman" w:hAnsi="Times New Roman" w:eastAsia="宋体" w:cs="Times New Roman"/>
                <w:color w:val="000000"/>
                <w:highlight w:val="none"/>
                <w:lang w:val="en-US" w:eastAsia="zh-CN"/>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2BA6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63" w:type="dxa"/>
            <w:vAlign w:val="center"/>
          </w:tcPr>
          <w:p w14:paraId="4B1659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p>
        </w:tc>
        <w:tc>
          <w:tcPr>
            <w:tcW w:w="1962" w:type="dxa"/>
            <w:vAlign w:val="center"/>
          </w:tcPr>
          <w:p w14:paraId="231449A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6895" w:type="dxa"/>
            <w:vAlign w:val="center"/>
          </w:tcPr>
          <w:p w14:paraId="619BB094">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42CC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63" w:type="dxa"/>
            <w:vAlign w:val="center"/>
          </w:tcPr>
          <w:p w14:paraId="6CC4AE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p>
        </w:tc>
        <w:tc>
          <w:tcPr>
            <w:tcW w:w="1962" w:type="dxa"/>
            <w:vAlign w:val="center"/>
          </w:tcPr>
          <w:p w14:paraId="33CDF6C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6895" w:type="dxa"/>
            <w:vAlign w:val="center"/>
          </w:tcPr>
          <w:p w14:paraId="6EED6CB5">
            <w:pPr>
              <w:numPr>
                <w:ilvl w:val="0"/>
                <w:numId w:val="0"/>
              </w:numPr>
              <w:spacing w:line="360" w:lineRule="auto"/>
              <w:ind w:right="0"/>
              <w:jc w:val="left"/>
              <w:rPr>
                <w:rFonts w:hint="eastAsia" w:ascii="Calibri" w:hAnsi="Calibri" w:eastAsia="宋体" w:cs="Times New Roman"/>
                <w:b w:val="0"/>
                <w:bCs w:val="0"/>
                <w:color w:val="000000"/>
                <w:kern w:val="0"/>
                <w:sz w:val="21"/>
                <w:szCs w:val="21"/>
                <w:highlight w:val="none"/>
                <w:u w:val="none"/>
                <w:lang w:val="en-US" w:eastAsia="zh-CN" w:bidi="ar-SA"/>
              </w:rPr>
            </w:pPr>
            <w:r>
              <w:rPr>
                <w:rFonts w:hint="eastAsia" w:ascii="Calibri" w:hAnsi="Calibri" w:eastAsia="宋体" w:cs="Times New Roman"/>
                <w:b w:val="0"/>
                <w:bCs w:val="0"/>
                <w:color w:val="000000"/>
                <w:kern w:val="0"/>
                <w:sz w:val="21"/>
                <w:szCs w:val="21"/>
                <w:highlight w:val="none"/>
                <w:u w:val="none"/>
                <w:lang w:val="en-US" w:eastAsia="zh-CN" w:bidi="ar-SA"/>
              </w:rPr>
              <w:t>详比选公告</w:t>
            </w:r>
          </w:p>
        </w:tc>
      </w:tr>
      <w:tr w14:paraId="1BB1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63" w:type="dxa"/>
            <w:vAlign w:val="center"/>
          </w:tcPr>
          <w:p w14:paraId="717A53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7</w:t>
            </w:r>
          </w:p>
        </w:tc>
        <w:tc>
          <w:tcPr>
            <w:tcW w:w="1962" w:type="dxa"/>
            <w:vAlign w:val="center"/>
          </w:tcPr>
          <w:p w14:paraId="4B4725B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资格要求</w:t>
            </w:r>
          </w:p>
        </w:tc>
        <w:tc>
          <w:tcPr>
            <w:tcW w:w="6895" w:type="dxa"/>
            <w:vAlign w:val="center"/>
          </w:tcPr>
          <w:p w14:paraId="2FE9D824">
            <w:pPr>
              <w:widowControl/>
              <w:tabs>
                <w:tab w:val="left" w:pos="4392"/>
              </w:tabs>
              <w:spacing w:line="360" w:lineRule="auto"/>
              <w:ind w:right="149" w:rightChars="71"/>
              <w:jc w:val="left"/>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详见比选公告</w:t>
            </w:r>
            <w:r>
              <w:rPr>
                <w:rFonts w:hint="eastAsia" w:ascii="Times New Roman" w:hAnsi="Times New Roman" w:cs="Times New Roman"/>
                <w:color w:val="000000"/>
                <w:highlight w:val="none"/>
                <w:lang w:val="en-US" w:eastAsia="zh-CN"/>
              </w:rPr>
              <w:t>“</w:t>
            </w:r>
            <w:r>
              <w:rPr>
                <w:rFonts w:hint="eastAsia" w:ascii="Times New Roman" w:hAnsi="Times New Roman" w:cs="Times New Roman"/>
                <w:b w:val="0"/>
                <w:color w:val="000000"/>
                <w:sz w:val="21"/>
                <w:szCs w:val="21"/>
                <w:highlight w:val="none"/>
              </w:rPr>
              <w:t>3</w:t>
            </w:r>
            <w:r>
              <w:rPr>
                <w:rFonts w:hint="eastAsia" w:ascii="Times New Roman" w:hAnsi="Times New Roman" w:cs="Times New Roman"/>
                <w:b w:val="0"/>
                <w:color w:val="000000"/>
                <w:sz w:val="21"/>
                <w:szCs w:val="21"/>
                <w:highlight w:val="none"/>
                <w:lang w:val="en-US" w:eastAsia="zh-CN"/>
              </w:rPr>
              <w:t>.</w:t>
            </w:r>
            <w:r>
              <w:rPr>
                <w:rFonts w:hint="eastAsia" w:ascii="Times New Roman" w:hAnsi="Times New Roman" w:cs="Times New Roman"/>
                <w:b w:val="0"/>
                <w:color w:val="000000"/>
                <w:sz w:val="21"/>
                <w:szCs w:val="21"/>
                <w:highlight w:val="none"/>
              </w:rPr>
              <w:t>比选申请人资格要求</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000000"/>
                <w:highlight w:val="none"/>
                <w:lang w:val="en-US" w:eastAsia="zh-CN"/>
              </w:rPr>
              <w:t xml:space="preserve">  </w:t>
            </w:r>
            <w:r>
              <w:rPr>
                <w:rFonts w:hint="eastAsia" w:ascii="Times New Roman" w:hAnsi="Times New Roman" w:cs="Times New Roman"/>
                <w:color w:val="000000"/>
                <w:szCs w:val="21"/>
                <w:highlight w:val="none"/>
                <w:lang w:val="en-US" w:eastAsia="zh-CN"/>
              </w:rPr>
              <w:t xml:space="preserve"> </w:t>
            </w:r>
          </w:p>
        </w:tc>
      </w:tr>
      <w:tr w14:paraId="0783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63" w:type="dxa"/>
            <w:vAlign w:val="center"/>
          </w:tcPr>
          <w:p w14:paraId="2B92500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8</w:t>
            </w:r>
          </w:p>
        </w:tc>
        <w:tc>
          <w:tcPr>
            <w:tcW w:w="1962" w:type="dxa"/>
            <w:vAlign w:val="center"/>
          </w:tcPr>
          <w:p w14:paraId="181933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ascii="Times New Roman" w:hAnsi="Times New Roman" w:cs="Times New Roman"/>
                <w:bCs/>
                <w:color w:val="000000"/>
                <w:szCs w:val="21"/>
                <w:highlight w:val="none"/>
              </w:rPr>
              <w:t>是否接受联合体申请</w:t>
            </w:r>
          </w:p>
        </w:tc>
        <w:tc>
          <w:tcPr>
            <w:tcW w:w="6895" w:type="dxa"/>
            <w:vAlign w:val="center"/>
          </w:tcPr>
          <w:p w14:paraId="6A9817A2">
            <w:pPr>
              <w:spacing w:line="360" w:lineRule="auto"/>
              <w:ind w:firstLine="0" w:firstLineChars="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u w:val="single"/>
                <w:lang w:val="en-US" w:eastAsia="zh-CN"/>
              </w:rPr>
              <w:t>不</w:t>
            </w:r>
            <w:r>
              <w:rPr>
                <w:rFonts w:ascii="Times New Roman" w:hAnsi="Times New Roman" w:cs="Times New Roman"/>
                <w:color w:val="000000"/>
                <w:szCs w:val="21"/>
                <w:highlight w:val="none"/>
                <w:u w:val="single"/>
              </w:rPr>
              <w:t>接受</w:t>
            </w:r>
            <w:r>
              <w:rPr>
                <w:rFonts w:ascii="Times New Roman" w:hAnsi="Times New Roman" w:cs="Times New Roman"/>
                <w:color w:val="000000"/>
                <w:kern w:val="0"/>
                <w:szCs w:val="21"/>
                <w:highlight w:val="none"/>
              </w:rPr>
              <w:t>。</w:t>
            </w:r>
          </w:p>
        </w:tc>
      </w:tr>
      <w:tr w14:paraId="72DF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1EAD6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9</w:t>
            </w:r>
          </w:p>
        </w:tc>
        <w:tc>
          <w:tcPr>
            <w:tcW w:w="1962" w:type="dxa"/>
            <w:vAlign w:val="center"/>
          </w:tcPr>
          <w:p w14:paraId="1C1003E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★限制</w:t>
            </w:r>
            <w:r>
              <w:rPr>
                <w:rFonts w:hint="eastAsia" w:ascii="Times New Roman" w:hAnsi="Times New Roman" w:cs="Times New Roman"/>
                <w:color w:val="000000"/>
                <w:szCs w:val="21"/>
                <w:highlight w:val="none"/>
                <w:lang w:val="en-US" w:eastAsia="zh-CN"/>
              </w:rPr>
              <w:t>参选</w:t>
            </w:r>
            <w:r>
              <w:rPr>
                <w:rFonts w:ascii="Times New Roman" w:hAnsi="Times New Roman" w:cs="Times New Roman"/>
                <w:color w:val="000000"/>
                <w:szCs w:val="21"/>
                <w:highlight w:val="none"/>
              </w:rPr>
              <w:t>的情形</w:t>
            </w:r>
          </w:p>
        </w:tc>
        <w:tc>
          <w:tcPr>
            <w:tcW w:w="6895" w:type="dxa"/>
            <w:vAlign w:val="center"/>
          </w:tcPr>
          <w:p w14:paraId="0895EFE2">
            <w:pPr>
              <w:spacing w:line="360" w:lineRule="auto"/>
              <w:rPr>
                <w:rFonts w:ascii="Times New Roman" w:hAnsi="Times New Roman" w:cs="Times New Roman"/>
                <w:szCs w:val="21"/>
                <w:highlight w:val="none"/>
              </w:rPr>
            </w:pPr>
            <w:r>
              <w:rPr>
                <w:rFonts w:ascii="Times New Roman" w:hAnsi="Times New Roman" w:cs="Times New Roman"/>
                <w:szCs w:val="21"/>
                <w:highlight w:val="none"/>
              </w:rPr>
              <w:t>除</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不得存在的12种情形之外，</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也不得存在下列情形：</w:t>
            </w:r>
          </w:p>
          <w:p w14:paraId="10D0429B">
            <w:pPr>
              <w:spacing w:line="360" w:lineRule="auto"/>
              <w:rPr>
                <w:rFonts w:ascii="Times New Roman" w:hAnsi="Times New Roman" w:cs="Times New Roman"/>
                <w:szCs w:val="21"/>
                <w:highlight w:val="none"/>
              </w:rPr>
            </w:pPr>
            <w:r>
              <w:rPr>
                <w:rFonts w:ascii="Times New Roman" w:hAnsi="Times New Roman" w:cs="Times New Roman"/>
                <w:szCs w:val="21"/>
                <w:highlight w:val="none"/>
              </w:rPr>
              <w:t>（13）为本项目管理单位、造价咨询单位的；</w:t>
            </w:r>
          </w:p>
          <w:p w14:paraId="57749997">
            <w:pPr>
              <w:spacing w:line="360" w:lineRule="auto"/>
              <w:rPr>
                <w:rFonts w:ascii="Times New Roman" w:hAnsi="Times New Roman" w:cs="Times New Roman"/>
                <w:szCs w:val="21"/>
                <w:highlight w:val="none"/>
              </w:rPr>
            </w:pPr>
            <w:r>
              <w:rPr>
                <w:rFonts w:ascii="Times New Roman" w:hAnsi="Times New Roman" w:cs="Times New Roman"/>
                <w:szCs w:val="21"/>
                <w:highlight w:val="none"/>
              </w:rPr>
              <w:t>（14）与</w:t>
            </w:r>
            <w:r>
              <w:rPr>
                <w:rFonts w:hint="eastAsia" w:ascii="Times New Roman" w:hAnsi="Times New Roman" w:cs="Times New Roman"/>
                <w:szCs w:val="21"/>
                <w:highlight w:val="none"/>
              </w:rPr>
              <w:t>比选人</w:t>
            </w:r>
            <w:r>
              <w:rPr>
                <w:rFonts w:ascii="Times New Roman" w:hAnsi="Times New Roman" w:cs="Times New Roman"/>
                <w:szCs w:val="21"/>
                <w:highlight w:val="none"/>
              </w:rPr>
              <w:t>存在利害关系且可能影响</w:t>
            </w:r>
            <w:r>
              <w:rPr>
                <w:rFonts w:hint="eastAsia" w:ascii="Times New Roman" w:hAnsi="Times New Roman" w:cs="Times New Roman"/>
                <w:szCs w:val="21"/>
                <w:highlight w:val="none"/>
              </w:rPr>
              <w:t>比选</w:t>
            </w:r>
            <w:r>
              <w:rPr>
                <w:rFonts w:ascii="Times New Roman" w:hAnsi="Times New Roman" w:cs="Times New Roman"/>
                <w:szCs w:val="21"/>
                <w:highlight w:val="none"/>
              </w:rPr>
              <w:t>公正性的；</w:t>
            </w:r>
          </w:p>
          <w:p w14:paraId="5E167B7C">
            <w:pPr>
              <w:spacing w:line="360" w:lineRule="auto"/>
              <w:rPr>
                <w:rFonts w:ascii="Times New Roman" w:hAnsi="Times New Roman" w:cs="Times New Roman"/>
                <w:szCs w:val="21"/>
                <w:highlight w:val="none"/>
              </w:rPr>
            </w:pPr>
            <w:r>
              <w:rPr>
                <w:rFonts w:ascii="Times New Roman" w:hAnsi="Times New Roman" w:cs="Times New Roman"/>
                <w:szCs w:val="21"/>
                <w:highlight w:val="none"/>
              </w:rPr>
              <w:t>（15）在最近三年内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或其法定代表人、拟委任的项目经理有行贿犯罪行为的；</w:t>
            </w:r>
          </w:p>
          <w:p w14:paraId="547B7EC1">
            <w:pPr>
              <w:spacing w:line="360" w:lineRule="auto"/>
              <w:rPr>
                <w:rFonts w:ascii="Times New Roman" w:hAnsi="Times New Roman" w:cs="Times New Roman"/>
                <w:szCs w:val="21"/>
                <w:highlight w:val="none"/>
              </w:rPr>
            </w:pPr>
            <w:r>
              <w:rPr>
                <w:rFonts w:ascii="Times New Roman" w:hAnsi="Times New Roman" w:cs="Times New Roman"/>
                <w:szCs w:val="21"/>
                <w:highlight w:val="none"/>
              </w:rPr>
              <w:t>（16）在最近一年内</w:t>
            </w:r>
            <w:r>
              <w:rPr>
                <w:rFonts w:hint="eastAsia" w:ascii="Times New Roman" w:hAnsi="Times New Roman" w:cs="Times New Roman"/>
                <w:szCs w:val="21"/>
                <w:highlight w:val="none"/>
              </w:rPr>
              <w:t>比选申请人</w:t>
            </w:r>
            <w:r>
              <w:rPr>
                <w:rFonts w:ascii="Times New Roman" w:hAnsi="Times New Roman" w:cs="Times New Roman"/>
                <w:szCs w:val="21"/>
                <w:highlight w:val="none"/>
              </w:rPr>
              <w:t>拟委任的</w:t>
            </w:r>
            <w:r>
              <w:rPr>
                <w:rFonts w:hint="eastAsia" w:ascii="Times New Roman" w:hAnsi="Times New Roman" w:cs="Times New Roman"/>
                <w:szCs w:val="21"/>
                <w:highlight w:val="none"/>
              </w:rPr>
              <w:t>项目经理</w:t>
            </w:r>
            <w:r>
              <w:rPr>
                <w:rFonts w:ascii="Times New Roman" w:hAnsi="Times New Roman" w:cs="Times New Roman"/>
                <w:szCs w:val="21"/>
                <w:highlight w:val="none"/>
              </w:rPr>
              <w:t>因违反《注册建造师管理规定》被建设主管部门或者其他有关部门行政处罚的；</w:t>
            </w:r>
          </w:p>
          <w:p w14:paraId="60579F56">
            <w:pPr>
              <w:spacing w:line="360" w:lineRule="auto"/>
              <w:rPr>
                <w:rFonts w:ascii="Times New Roman" w:hAnsi="Times New Roman" w:cs="Times New Roman"/>
                <w:szCs w:val="21"/>
                <w:highlight w:val="none"/>
              </w:rPr>
            </w:pPr>
            <w:r>
              <w:rPr>
                <w:rFonts w:ascii="Times New Roman" w:hAnsi="Times New Roman" w:cs="Times New Roman"/>
                <w:szCs w:val="21"/>
                <w:highlight w:val="none"/>
              </w:rPr>
              <w:t>（17）拟任项目经理在参加本项目</w:t>
            </w:r>
            <w:r>
              <w:rPr>
                <w:rFonts w:hint="eastAsia" w:ascii="Times New Roman" w:hAnsi="Times New Roman" w:cs="Times New Roman"/>
                <w:szCs w:val="21"/>
                <w:highlight w:val="none"/>
              </w:rPr>
              <w:t>比选申请</w:t>
            </w:r>
            <w:r>
              <w:rPr>
                <w:rFonts w:ascii="Times New Roman" w:hAnsi="Times New Roman" w:cs="Times New Roman"/>
                <w:szCs w:val="21"/>
                <w:highlight w:val="none"/>
              </w:rPr>
              <w:t>时（指</w:t>
            </w:r>
            <w:r>
              <w:rPr>
                <w:rFonts w:hint="eastAsia" w:ascii="Times New Roman" w:hAnsi="Times New Roman" w:cs="Times New Roman"/>
                <w:szCs w:val="21"/>
                <w:highlight w:val="none"/>
              </w:rPr>
              <w:t>比选申请文件递交</w:t>
            </w:r>
            <w:r>
              <w:rPr>
                <w:rFonts w:ascii="Times New Roman" w:hAnsi="Times New Roman" w:cs="Times New Roman"/>
                <w:szCs w:val="21"/>
                <w:highlight w:val="none"/>
              </w:rPr>
              <w:t>截止时间），在其他合同履行期间（合同履行期间是指从工程项目签订承包合同之日起至工程项目验收合格之日止的时间）的工程项目中担任项目经理的；</w:t>
            </w:r>
          </w:p>
          <w:p w14:paraId="54758A72">
            <w:pPr>
              <w:spacing w:line="360" w:lineRule="auto"/>
              <w:rPr>
                <w:rFonts w:hint="eastAsia" w:ascii="Times New Roman" w:hAnsi="Times New Roman" w:cs="Times New Roman"/>
                <w:szCs w:val="21"/>
                <w:highlight w:val="none"/>
                <w:lang w:eastAsia="zh-CN"/>
              </w:rPr>
            </w:pPr>
            <w:r>
              <w:rPr>
                <w:rFonts w:ascii="Times New Roman" w:hAnsi="Times New Roman" w:cs="Times New Roman"/>
                <w:szCs w:val="21"/>
                <w:highlight w:val="none"/>
              </w:rPr>
              <w:t>（18）根据国家或四川省有关部门制定的其他联合惩戒措施规范性文件（联合惩戒措施包括限制参与工程招</w:t>
            </w:r>
            <w:r>
              <w:rPr>
                <w:rFonts w:hint="eastAsia" w:ascii="Times New Roman" w:hAnsi="Times New Roman" w:cs="Times New Roman"/>
                <w:szCs w:val="21"/>
                <w:highlight w:val="none"/>
              </w:rPr>
              <w:t>投标</w:t>
            </w:r>
            <w:r>
              <w:rPr>
                <w:rFonts w:ascii="Times New Roman" w:hAnsi="Times New Roman" w:cs="Times New Roman"/>
                <w:szCs w:val="21"/>
                <w:highlight w:val="none"/>
              </w:rPr>
              <w:t>或限制参与政府采购活动），被列为联合惩戒对象的</w:t>
            </w:r>
            <w:r>
              <w:rPr>
                <w:rFonts w:hint="eastAsia" w:ascii="Times New Roman" w:hAnsi="Times New Roman" w:cs="Times New Roman"/>
                <w:szCs w:val="21"/>
                <w:highlight w:val="none"/>
                <w:lang w:eastAsia="zh-CN"/>
              </w:rPr>
              <w:t>；</w:t>
            </w:r>
          </w:p>
          <w:p w14:paraId="09BA707F">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lang w:eastAsia="zh-CN"/>
              </w:rPr>
              <w:t>（</w:t>
            </w:r>
            <w:r>
              <w:rPr>
                <w:rFonts w:hint="eastAsia" w:ascii="Times New Roman" w:hAnsi="Times New Roman" w:cs="Times New Roman"/>
                <w:szCs w:val="21"/>
                <w:highlight w:val="none"/>
                <w:lang w:val="en-US" w:eastAsia="zh-CN"/>
              </w:rPr>
              <w:t>19</w:t>
            </w:r>
            <w:r>
              <w:rPr>
                <w:rFonts w:hint="eastAsia" w:ascii="Times New Roman" w:hAnsi="Times New Roman" w:cs="Times New Roman"/>
                <w:szCs w:val="21"/>
                <w:highlight w:val="none"/>
                <w:lang w:eastAsia="zh-CN"/>
              </w:rPr>
              <w:t>）</w:t>
            </w:r>
            <w:r>
              <w:rPr>
                <w:rFonts w:hint="eastAsia" w:ascii="Times New Roman" w:hAnsi="Times New Roman" w:cs="Times New Roman"/>
                <w:color w:val="000000"/>
                <w:kern w:val="0"/>
                <w:szCs w:val="21"/>
                <w:highlight w:val="none"/>
              </w:rPr>
              <w:t>与</w:t>
            </w:r>
            <w:r>
              <w:rPr>
                <w:rFonts w:hint="eastAsia" w:ascii="Times New Roman" w:hAnsi="Times New Roman" w:cs="Times New Roman"/>
                <w:color w:val="000000"/>
                <w:kern w:val="0"/>
                <w:szCs w:val="21"/>
                <w:highlight w:val="none"/>
                <w:lang w:val="en-US" w:eastAsia="zh-CN"/>
              </w:rPr>
              <w:t>比选</w:t>
            </w:r>
            <w:r>
              <w:rPr>
                <w:rFonts w:hint="eastAsia" w:ascii="Times New Roman" w:hAnsi="Times New Roman" w:cs="Times New Roman"/>
                <w:color w:val="000000"/>
                <w:kern w:val="0"/>
                <w:szCs w:val="21"/>
                <w:highlight w:val="none"/>
              </w:rPr>
              <w:t>人存在利害关系可能影响招标公正性的法人、其他组织或者个人，不得参加投标；单位负责人为同一人或者存在控股、管理关系的不同单位，不得参加同一标段投标。否则，均视为无效投标。</w:t>
            </w:r>
          </w:p>
        </w:tc>
      </w:tr>
      <w:tr w14:paraId="2DEC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54503D7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10</w:t>
            </w:r>
          </w:p>
        </w:tc>
        <w:tc>
          <w:tcPr>
            <w:tcW w:w="1962" w:type="dxa"/>
            <w:vAlign w:val="center"/>
          </w:tcPr>
          <w:p w14:paraId="7AF60981">
            <w:pPr>
              <w:pageBreakBefore w:val="0"/>
              <w:wordWrap/>
              <w:topLinePunct w:val="0"/>
              <w:bidi w:val="0"/>
              <w:ind w:left="0" w:leftChars="0" w:right="0" w:rightChars="0" w:firstLine="0" w:firstLineChars="0"/>
              <w:jc w:val="center"/>
              <w:rPr>
                <w:rFonts w:ascii="Times New Roman" w:hAnsi="Times New Roman" w:cs="Times New Roman"/>
                <w:color w:val="000000"/>
                <w:szCs w:val="21"/>
                <w:highlight w:val="none"/>
              </w:rPr>
            </w:pPr>
            <w:r>
              <w:rPr>
                <w:rFonts w:ascii="宋体" w:hAnsi="宋体" w:eastAsia="宋体"/>
                <w:color w:val="auto"/>
                <w:sz w:val="21"/>
                <w:highlight w:val="none"/>
              </w:rPr>
              <w:t>重大偏差</w:t>
            </w:r>
          </w:p>
        </w:tc>
        <w:tc>
          <w:tcPr>
            <w:tcW w:w="6895" w:type="dxa"/>
            <w:vAlign w:val="center"/>
          </w:tcPr>
          <w:p w14:paraId="0F4B466C">
            <w:pPr>
              <w:keepNext w:val="0"/>
              <w:keepLines w:val="0"/>
              <w:pageBreakBefore w:val="0"/>
              <w:wordWrap/>
              <w:topLinePunct w:val="0"/>
              <w:bidi w:val="0"/>
              <w:snapToGrid/>
              <w:spacing w:line="360" w:lineRule="auto"/>
              <w:ind w:left="105" w:leftChars="50" w:right="105" w:rightChars="50" w:firstLine="0" w:firstLineChars="0"/>
              <w:textAlignment w:val="auto"/>
              <w:rPr>
                <w:rFonts w:ascii="Times New Roman" w:hAnsi="Times New Roman" w:cs="Times New Roman"/>
                <w:color w:val="000000"/>
                <w:szCs w:val="21"/>
                <w:highlight w:val="none"/>
              </w:rPr>
            </w:pPr>
            <w:r>
              <w:rPr>
                <w:rFonts w:hint="eastAsia" w:hAnsi="宋体" w:cs="宋体"/>
                <w:color w:val="auto"/>
                <w:highlight w:val="none"/>
                <w:lang w:val="en-US" w:eastAsia="zh-CN"/>
              </w:rPr>
              <w:t>不允许</w:t>
            </w:r>
          </w:p>
        </w:tc>
      </w:tr>
      <w:tr w14:paraId="5618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6501A61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11</w:t>
            </w:r>
          </w:p>
        </w:tc>
        <w:tc>
          <w:tcPr>
            <w:tcW w:w="1962" w:type="dxa"/>
            <w:vAlign w:val="center"/>
          </w:tcPr>
          <w:p w14:paraId="5D71A6DD">
            <w:pPr>
              <w:pStyle w:val="11"/>
              <w:spacing w:line="380" w:lineRule="exact"/>
              <w:jc w:val="center"/>
              <w:rPr>
                <w:rFonts w:ascii="Times New Roman" w:hAnsi="Times New Roman" w:cs="Times New Roman"/>
                <w:sz w:val="20"/>
                <w:szCs w:val="20"/>
                <w:highlight w:val="none"/>
              </w:rPr>
            </w:pP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保证金</w:t>
            </w:r>
          </w:p>
        </w:tc>
        <w:tc>
          <w:tcPr>
            <w:tcW w:w="6895" w:type="dxa"/>
            <w:vAlign w:val="center"/>
          </w:tcPr>
          <w:p w14:paraId="565E134B">
            <w:pPr>
              <w:widowControl/>
              <w:numPr>
                <w:ilvl w:val="-1"/>
                <w:numId w:val="0"/>
              </w:numPr>
              <w:wordWrap/>
              <w:spacing w:line="360" w:lineRule="auto"/>
              <w:ind w:firstLine="0"/>
              <w:jc w:val="left"/>
              <w:rPr>
                <w:rFonts w:ascii="Times New Roman" w:hAnsi="Times New Roman" w:cs="Times New Roman"/>
                <w:kern w:val="0"/>
                <w:sz w:val="20"/>
                <w:szCs w:val="20"/>
                <w:highlight w:val="none"/>
              </w:rPr>
            </w:pPr>
            <w:r>
              <w:rPr>
                <w:rFonts w:hint="eastAsia" w:ascii="Times New Roman" w:hAnsi="Times New Roman" w:cs="Times New Roman"/>
                <w:highlight w:val="none"/>
                <w:lang w:val="en-US" w:eastAsia="zh-CN"/>
              </w:rPr>
              <w:t>无</w:t>
            </w:r>
          </w:p>
        </w:tc>
      </w:tr>
      <w:tr w14:paraId="668D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restart"/>
            <w:vAlign w:val="center"/>
          </w:tcPr>
          <w:p w14:paraId="47D986F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12</w:t>
            </w:r>
          </w:p>
        </w:tc>
        <w:tc>
          <w:tcPr>
            <w:tcW w:w="1962" w:type="dxa"/>
            <w:vMerge w:val="restart"/>
            <w:vAlign w:val="center"/>
          </w:tcPr>
          <w:p w14:paraId="05DF6A8C">
            <w:pPr>
              <w:spacing w:line="360" w:lineRule="auto"/>
              <w:ind w:left="105" w:leftChars="50" w:right="149" w:rightChars="71"/>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比选申请人提出问题的截止时间</w:t>
            </w:r>
          </w:p>
        </w:tc>
        <w:tc>
          <w:tcPr>
            <w:tcW w:w="6895" w:type="dxa"/>
            <w:vAlign w:val="center"/>
          </w:tcPr>
          <w:p w14:paraId="2218A763">
            <w:pPr>
              <w:spacing w:line="360" w:lineRule="auto"/>
              <w:ind w:left="16" w:leftChars="8"/>
              <w:rPr>
                <w:rFonts w:ascii="Times New Roman" w:hAnsi="Times New Roman" w:eastAsia="宋体" w:cs="Times New Roman"/>
                <w:color w:val="auto"/>
                <w:kern w:val="2"/>
                <w:sz w:val="21"/>
                <w:szCs w:val="21"/>
                <w:highlight w:val="red"/>
                <w:lang w:val="en-US" w:eastAsia="zh-CN" w:bidi="ar-SA"/>
              </w:rPr>
            </w:pPr>
            <w:r>
              <w:rPr>
                <w:rFonts w:hint="default" w:ascii="Times New Roman" w:hAnsi="Times New Roman" w:cs="Times New Roman"/>
                <w:color w:val="auto"/>
                <w:szCs w:val="21"/>
                <w:highlight w:val="none"/>
              </w:rPr>
              <w:t>时间：</w:t>
            </w:r>
            <w:r>
              <w:rPr>
                <w:rFonts w:hint="eastAsia" w:ascii="Times New Roman" w:hAnsi="Times New Roman" w:cs="Times New Roman"/>
                <w:color w:val="auto"/>
                <w:szCs w:val="21"/>
                <w:highlight w:val="none"/>
                <w:u w:val="none"/>
                <w:lang w:val="en-US" w:eastAsia="zh-CN"/>
              </w:rPr>
              <w:t>2025年9</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28</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17</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00</w:t>
            </w:r>
            <w:r>
              <w:rPr>
                <w:rFonts w:hint="default" w:ascii="Times New Roman" w:hAnsi="Times New Roman" w:eastAsia="宋体" w:cs="Times New Roman"/>
                <w:color w:val="000000"/>
                <w:kern w:val="0"/>
                <w:sz w:val="21"/>
                <w:szCs w:val="21"/>
                <w:highlight w:val="none"/>
                <w:lang w:val="en-US" w:eastAsia="zh-CN" w:bidi="ar-SA"/>
              </w:rPr>
              <w:t>分</w:t>
            </w:r>
            <w:r>
              <w:rPr>
                <w:rFonts w:hint="default" w:ascii="Times New Roman" w:hAnsi="Times New Roman" w:cs="Times New Roman"/>
                <w:color w:val="auto"/>
                <w:szCs w:val="21"/>
                <w:highlight w:val="none"/>
              </w:rPr>
              <w:t>之前</w:t>
            </w:r>
          </w:p>
        </w:tc>
      </w:tr>
      <w:tr w14:paraId="3C98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Merge w:val="continue"/>
            <w:vAlign w:val="center"/>
          </w:tcPr>
          <w:p w14:paraId="3E30DC9E">
            <w:pPr>
              <w:widowControl/>
              <w:spacing w:line="360" w:lineRule="auto"/>
              <w:ind w:right="149" w:rightChars="71"/>
              <w:jc w:val="left"/>
              <w:rPr>
                <w:highlight w:val="none"/>
              </w:rPr>
            </w:pPr>
          </w:p>
        </w:tc>
        <w:tc>
          <w:tcPr>
            <w:tcW w:w="1962" w:type="dxa"/>
            <w:vMerge w:val="continue"/>
            <w:vAlign w:val="center"/>
          </w:tcPr>
          <w:p w14:paraId="1532CFC8">
            <w:pPr>
              <w:widowControl/>
              <w:spacing w:line="360" w:lineRule="auto"/>
              <w:ind w:right="149" w:rightChars="71"/>
              <w:jc w:val="left"/>
              <w:rPr>
                <w:highlight w:val="none"/>
              </w:rPr>
            </w:pPr>
          </w:p>
        </w:tc>
        <w:tc>
          <w:tcPr>
            <w:tcW w:w="6895" w:type="dxa"/>
            <w:vAlign w:val="center"/>
          </w:tcPr>
          <w:p w14:paraId="388C4514">
            <w:pPr>
              <w:spacing w:line="360" w:lineRule="auto"/>
              <w:ind w:left="16" w:leftChars="8"/>
              <w:rPr>
                <w:rFonts w:hint="default" w:ascii="Times New Roman" w:hAnsi="Times New Roman" w:eastAsia="宋体" w:cs="Times New Roman"/>
                <w:color w:val="000000"/>
                <w:kern w:val="0"/>
                <w:sz w:val="21"/>
                <w:szCs w:val="21"/>
                <w:highlight w:val="none"/>
                <w:u w:val="none"/>
                <w:lang w:val="en-US" w:eastAsia="zh-CN" w:bidi="ar-SA"/>
              </w:rPr>
            </w:pPr>
            <w:r>
              <w:rPr>
                <w:rFonts w:hint="default" w:ascii="Times New Roman" w:hAnsi="Times New Roman" w:cs="Times New Roman"/>
                <w:color w:val="auto"/>
                <w:szCs w:val="21"/>
                <w:highlight w:val="none"/>
              </w:rPr>
              <w:t>形式：</w:t>
            </w:r>
            <w:r>
              <w:rPr>
                <w:rFonts w:hint="default" w:ascii="Times New Roman" w:hAnsi="Times New Roman" w:eastAsia="宋体" w:cs="Times New Roman"/>
                <w:szCs w:val="21"/>
                <w:highlight w:val="none"/>
                <w:lang w:val="en-US" w:eastAsia="zh-CN"/>
              </w:rPr>
              <w:t>不</w:t>
            </w:r>
            <w:r>
              <w:rPr>
                <w:rFonts w:hint="default" w:ascii="Times New Roman" w:hAnsi="Times New Roman" w:eastAsia="宋体" w:cs="Times New Roman"/>
                <w:szCs w:val="21"/>
                <w:highlight w:val="none"/>
              </w:rPr>
              <w:t>提供</w:t>
            </w:r>
            <w:r>
              <w:rPr>
                <w:rFonts w:hint="default" w:ascii="Times New Roman" w:hAnsi="Times New Roman" w:eastAsia="宋体" w:cs="Times New Roman"/>
                <w:szCs w:val="21"/>
                <w:highlight w:val="none"/>
                <w:lang w:val="en-US" w:eastAsia="zh-CN"/>
              </w:rPr>
              <w:t>比选申请</w:t>
            </w:r>
            <w:r>
              <w:rPr>
                <w:rFonts w:hint="default" w:ascii="Times New Roman" w:hAnsi="Times New Roman" w:eastAsia="宋体" w:cs="Times New Roman"/>
                <w:szCs w:val="21"/>
                <w:highlight w:val="none"/>
              </w:rPr>
              <w:t>人的信息</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color w:val="auto"/>
                <w:szCs w:val="21"/>
                <w:highlight w:val="none"/>
                <w:lang w:val="en-US" w:eastAsia="zh-CN"/>
              </w:rPr>
              <w:t>将须</w:t>
            </w:r>
            <w:r>
              <w:rPr>
                <w:rFonts w:hint="default" w:ascii="Times New Roman" w:hAnsi="Times New Roman" w:eastAsia="宋体" w:cs="Times New Roman"/>
                <w:color w:val="auto"/>
                <w:szCs w:val="21"/>
                <w:highlight w:val="none"/>
              </w:rPr>
              <w:t>澄清</w:t>
            </w:r>
            <w:r>
              <w:rPr>
                <w:rFonts w:hint="default" w:ascii="Times New Roman" w:hAnsi="Times New Roman" w:eastAsia="宋体" w:cs="Times New Roman"/>
                <w:color w:val="auto"/>
                <w:szCs w:val="21"/>
                <w:highlight w:val="none"/>
                <w:lang w:eastAsia="zh-CN"/>
              </w:rPr>
              <w:t>的</w:t>
            </w:r>
            <w:r>
              <w:rPr>
                <w:rFonts w:hint="default" w:ascii="Times New Roman" w:hAnsi="Times New Roman" w:eastAsia="宋体" w:cs="Times New Roman"/>
                <w:color w:val="auto"/>
                <w:szCs w:val="21"/>
                <w:highlight w:val="none"/>
              </w:rPr>
              <w:t>问题</w:t>
            </w:r>
            <w:r>
              <w:rPr>
                <w:rFonts w:hint="eastAsia" w:ascii="Times New Roman" w:hAnsi="Times New Roman" w:cs="Times New Roman"/>
                <w:color w:val="auto"/>
                <w:szCs w:val="21"/>
                <w:highlight w:val="none"/>
                <w:lang w:val="en-US" w:eastAsia="zh-CN"/>
              </w:rPr>
              <w:t>采用电邮形式传送至比选人指定邮箱819539769</w:t>
            </w:r>
            <w:r>
              <w:rPr>
                <w:rFonts w:hint="default" w:ascii="Times New Roman" w:hAnsi="Times New Roman" w:cs="Times New Roman"/>
                <w:color w:val="auto"/>
                <w:szCs w:val="21"/>
                <w:highlight w:val="none"/>
                <w:lang w:val="en-US" w:eastAsia="zh-CN"/>
              </w:rPr>
              <w:t>@qq.com</w:t>
            </w:r>
            <w:r>
              <w:rPr>
                <w:rFonts w:hint="default" w:ascii="Times New Roman" w:hAnsi="Times New Roman" w:eastAsia="宋体" w:cs="Times New Roman"/>
                <w:color w:val="auto"/>
                <w:szCs w:val="21"/>
                <w:highlight w:val="none"/>
              </w:rPr>
              <w:t>。</w:t>
            </w:r>
          </w:p>
        </w:tc>
      </w:tr>
      <w:tr w14:paraId="69E3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63" w:type="dxa"/>
            <w:vAlign w:val="center"/>
          </w:tcPr>
          <w:p w14:paraId="5F48A4C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13</w:t>
            </w:r>
          </w:p>
        </w:tc>
        <w:tc>
          <w:tcPr>
            <w:tcW w:w="1962" w:type="dxa"/>
            <w:vAlign w:val="center"/>
          </w:tcPr>
          <w:p w14:paraId="65577106">
            <w:pPr>
              <w:pStyle w:val="11"/>
              <w:spacing w:line="340" w:lineRule="exact"/>
              <w:jc w:val="center"/>
              <w:rPr>
                <w:rFonts w:ascii="Times New Roman" w:hAnsi="Times New Roman" w:cs="Times New Roman"/>
                <w:highlight w:val="none"/>
              </w:rPr>
            </w:pPr>
            <w:r>
              <w:rPr>
                <w:rFonts w:hint="eastAsia" w:ascii="Times New Roman" w:hAnsi="Times New Roman" w:cs="Times New Roman"/>
                <w:highlight w:val="none"/>
              </w:rPr>
              <w:t>比选</w:t>
            </w:r>
            <w:r>
              <w:rPr>
                <w:rFonts w:ascii="Times New Roman" w:hAnsi="Times New Roman" w:cs="Times New Roman"/>
                <w:highlight w:val="none"/>
              </w:rPr>
              <w:t>文件澄清发出的形式</w:t>
            </w:r>
          </w:p>
        </w:tc>
        <w:tc>
          <w:tcPr>
            <w:tcW w:w="6895" w:type="dxa"/>
            <w:vAlign w:val="center"/>
          </w:tcPr>
          <w:p w14:paraId="16DEA7FD">
            <w:pPr>
              <w:numPr>
                <w:ilvl w:val="-1"/>
                <w:numId w:val="0"/>
              </w:numPr>
              <w:wordWrap w:val="0"/>
              <w:spacing w:line="420" w:lineRule="exact"/>
              <w:ind w:left="0" w:leftChars="0"/>
              <w:rPr>
                <w:rFonts w:hint="eastAsia" w:ascii="Times New Roman" w:hAnsi="Times New Roman" w:eastAsia="宋体" w:cs="Times New Roman"/>
                <w:kern w:val="2"/>
                <w:szCs w:val="22"/>
                <w:highlight w:val="none"/>
              </w:rPr>
            </w:pPr>
            <w:r>
              <w:rPr>
                <w:rFonts w:hint="eastAsia" w:ascii="Times New Roman" w:hAnsi="Times New Roman" w:cs="Times New Roman"/>
                <w:highlight w:val="none"/>
              </w:rPr>
              <w:t>比选人</w:t>
            </w:r>
            <w:r>
              <w:rPr>
                <w:rFonts w:ascii="Times New Roman" w:hAnsi="Times New Roman" w:cs="Times New Roman"/>
                <w:highlight w:val="none"/>
              </w:rPr>
              <w:t>将以补遗书形式对</w:t>
            </w:r>
            <w:r>
              <w:rPr>
                <w:rFonts w:hint="eastAsia" w:ascii="Times New Roman" w:hAnsi="Times New Roman" w:cs="Times New Roman"/>
                <w:highlight w:val="none"/>
              </w:rPr>
              <w:t>比选</w:t>
            </w:r>
            <w:r>
              <w:rPr>
                <w:rFonts w:ascii="Times New Roman" w:hAnsi="Times New Roman" w:cs="Times New Roman"/>
                <w:highlight w:val="none"/>
              </w:rPr>
              <w:t>文件进行澄清，</w:t>
            </w:r>
            <w:r>
              <w:rPr>
                <w:rFonts w:hint="eastAsia" w:ascii="Times New Roman" w:hAnsi="Times New Roman" w:cs="Times New Roman"/>
                <w:highlight w:val="none"/>
              </w:rPr>
              <w:t>补遗书公布在四川蜀道新能源科技发展有限公司网站（http://www.sdxnykj.cn/）上。</w:t>
            </w:r>
          </w:p>
        </w:tc>
      </w:tr>
      <w:tr w14:paraId="01F1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63" w:type="dxa"/>
            <w:vAlign w:val="center"/>
          </w:tcPr>
          <w:p w14:paraId="12C60B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14</w:t>
            </w:r>
          </w:p>
        </w:tc>
        <w:tc>
          <w:tcPr>
            <w:tcW w:w="1962" w:type="dxa"/>
            <w:vAlign w:val="center"/>
          </w:tcPr>
          <w:p w14:paraId="703D31B8">
            <w:pPr>
              <w:wordWrap w:val="0"/>
              <w:spacing w:line="420" w:lineRule="exact"/>
              <w:jc w:val="center"/>
              <w:rPr>
                <w:rFonts w:ascii="Times New Roman" w:hAnsi="Times New Roman" w:cs="Times New Roman"/>
                <w:color w:val="000000"/>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确认收到</w:t>
            </w:r>
            <w:r>
              <w:rPr>
                <w:rFonts w:hint="eastAsia" w:ascii="Times New Roman" w:hAnsi="Times New Roman" w:cs="Times New Roman"/>
                <w:szCs w:val="21"/>
                <w:highlight w:val="none"/>
              </w:rPr>
              <w:t>比选</w:t>
            </w:r>
            <w:r>
              <w:rPr>
                <w:rFonts w:ascii="Times New Roman" w:hAnsi="Times New Roman" w:cs="Times New Roman"/>
                <w:szCs w:val="21"/>
                <w:highlight w:val="none"/>
              </w:rPr>
              <w:t>文件澄清</w:t>
            </w:r>
          </w:p>
        </w:tc>
        <w:tc>
          <w:tcPr>
            <w:tcW w:w="6895" w:type="dxa"/>
            <w:vAlign w:val="center"/>
          </w:tcPr>
          <w:p w14:paraId="4AB7A1E0">
            <w:pPr>
              <w:numPr>
                <w:ilvl w:val="0"/>
                <w:numId w:val="2"/>
              </w:numPr>
              <w:wordWrap w:val="0"/>
              <w:spacing w:line="420" w:lineRule="exact"/>
              <w:rPr>
                <w:rFonts w:ascii="Times New Roman" w:hAnsi="Times New Roman" w:cs="Times New Roman"/>
                <w:highlight w:val="none"/>
              </w:rPr>
            </w:pPr>
            <w:r>
              <w:rPr>
                <w:rFonts w:ascii="Times New Roman" w:hAnsi="Times New Roman" w:cs="Times New Roman"/>
                <w:highlight w:val="none"/>
              </w:rPr>
              <w:t>不要求</w:t>
            </w:r>
            <w:r>
              <w:rPr>
                <w:rFonts w:hint="eastAsia" w:ascii="Times New Roman" w:hAnsi="Times New Roman" w:cs="Times New Roman"/>
                <w:highlight w:val="none"/>
              </w:rPr>
              <w:t>比选申请人</w:t>
            </w:r>
            <w:r>
              <w:rPr>
                <w:rFonts w:ascii="Times New Roman" w:hAnsi="Times New Roman" w:cs="Times New Roman"/>
                <w:highlight w:val="none"/>
              </w:rPr>
              <w:t>向</w:t>
            </w:r>
            <w:r>
              <w:rPr>
                <w:rFonts w:hint="eastAsia" w:ascii="Times New Roman" w:hAnsi="Times New Roman" w:cs="Times New Roman"/>
                <w:highlight w:val="none"/>
              </w:rPr>
              <w:t>比选人</w:t>
            </w:r>
            <w:r>
              <w:rPr>
                <w:rFonts w:ascii="Times New Roman" w:hAnsi="Times New Roman" w:cs="Times New Roman"/>
                <w:highlight w:val="none"/>
              </w:rPr>
              <w:t>发出确认函。</w:t>
            </w:r>
          </w:p>
          <w:p w14:paraId="09BD43FA">
            <w:pPr>
              <w:numPr>
                <w:ilvl w:val="-1"/>
                <w:numId w:val="0"/>
              </w:numPr>
              <w:wordWrap w:val="0"/>
              <w:spacing w:line="420" w:lineRule="exact"/>
              <w:rPr>
                <w:rFonts w:ascii="Times New Roman" w:hAnsi="Times New Roman" w:cs="Times New Roman"/>
                <w:highlight w:val="none"/>
              </w:rPr>
            </w:pPr>
            <w:r>
              <w:rPr>
                <w:rFonts w:hint="eastAsia" w:ascii="Times New Roman" w:hAnsi="Times New Roman" w:cs="Times New Roman"/>
                <w:highlight w:val="none"/>
                <w:lang w:val="en-US" w:eastAsia="zh-CN"/>
              </w:rPr>
              <w:t>2.</w:t>
            </w:r>
            <w:r>
              <w:rPr>
                <w:rFonts w:hint="eastAsia" w:ascii="Times New Roman" w:hAnsi="Times New Roman" w:cs="Times New Roman"/>
                <w:highlight w:val="none"/>
              </w:rPr>
              <w:t>比选申请人</w:t>
            </w:r>
            <w:r>
              <w:rPr>
                <w:rFonts w:ascii="Times New Roman" w:hAnsi="Times New Roman" w:cs="Times New Roman"/>
                <w:highlight w:val="none"/>
              </w:rPr>
              <w:t>应在</w:t>
            </w:r>
            <w:r>
              <w:rPr>
                <w:rFonts w:hint="eastAsia" w:ascii="Times New Roman" w:hAnsi="Times New Roman" w:cs="Times New Roman"/>
                <w:highlight w:val="none"/>
              </w:rPr>
              <w:t>比选申请</w:t>
            </w:r>
            <w:r>
              <w:rPr>
                <w:rFonts w:ascii="Times New Roman" w:hAnsi="Times New Roman" w:cs="Times New Roman"/>
                <w:highlight w:val="none"/>
              </w:rPr>
              <w:t>期间实时关注</w:t>
            </w:r>
            <w:r>
              <w:rPr>
                <w:rFonts w:hint="eastAsia" w:ascii="Times New Roman" w:hAnsi="Times New Roman" w:cs="Times New Roman"/>
                <w:highlight w:val="none"/>
              </w:rPr>
              <w:t>比选人</w:t>
            </w:r>
            <w:r>
              <w:rPr>
                <w:rFonts w:ascii="Times New Roman" w:hAnsi="Times New Roman" w:cs="Times New Roman"/>
                <w:highlight w:val="none"/>
              </w:rPr>
              <w:t>指定网站，并及时</w:t>
            </w:r>
            <w:r>
              <w:rPr>
                <w:rFonts w:hint="eastAsia" w:ascii="Times New Roman" w:hAnsi="Times New Roman" w:cs="Times New Roman"/>
                <w:highlight w:val="none"/>
              </w:rPr>
              <w:t>查阅</w:t>
            </w:r>
            <w:r>
              <w:rPr>
                <w:rFonts w:ascii="Times New Roman" w:hAnsi="Times New Roman" w:cs="Times New Roman"/>
                <w:highlight w:val="none"/>
              </w:rPr>
              <w:t>相关内容，</w:t>
            </w:r>
            <w:r>
              <w:rPr>
                <w:rFonts w:hint="eastAsia" w:ascii="Times New Roman" w:hAnsi="Times New Roman" w:cs="Times New Roman"/>
                <w:highlight w:val="none"/>
              </w:rPr>
              <w:t>比选人</w:t>
            </w:r>
            <w:r>
              <w:rPr>
                <w:rFonts w:ascii="Times New Roman" w:hAnsi="Times New Roman" w:cs="Times New Roman"/>
                <w:highlight w:val="none"/>
              </w:rPr>
              <w:t>不再另行通知。查阅下载过程如有问题或疑问请及时与</w:t>
            </w:r>
            <w:r>
              <w:rPr>
                <w:rFonts w:hint="eastAsia" w:ascii="Times New Roman" w:hAnsi="Times New Roman" w:cs="Times New Roman"/>
                <w:highlight w:val="none"/>
              </w:rPr>
              <w:t>比选人</w:t>
            </w:r>
            <w:r>
              <w:rPr>
                <w:rFonts w:ascii="Times New Roman" w:hAnsi="Times New Roman" w:cs="Times New Roman"/>
                <w:highlight w:val="none"/>
              </w:rPr>
              <w:t>联系；逾期未联系的，</w:t>
            </w:r>
            <w:r>
              <w:rPr>
                <w:rFonts w:hint="eastAsia" w:ascii="Times New Roman" w:hAnsi="Times New Roman" w:cs="Times New Roman"/>
                <w:highlight w:val="none"/>
              </w:rPr>
              <w:t>比选人</w:t>
            </w:r>
            <w:r>
              <w:rPr>
                <w:rFonts w:ascii="Times New Roman" w:hAnsi="Times New Roman" w:cs="Times New Roman"/>
                <w:highlight w:val="none"/>
              </w:rPr>
              <w:t>视为</w:t>
            </w:r>
            <w:r>
              <w:rPr>
                <w:rFonts w:hint="eastAsia" w:ascii="Times New Roman" w:hAnsi="Times New Roman" w:cs="Times New Roman"/>
                <w:highlight w:val="none"/>
              </w:rPr>
              <w:t>比选申请人</w:t>
            </w:r>
            <w:r>
              <w:rPr>
                <w:rFonts w:ascii="Times New Roman" w:hAnsi="Times New Roman" w:cs="Times New Roman"/>
                <w:highlight w:val="none"/>
              </w:rPr>
              <w:t>无任何问题，或是已收到或默认已收到，否则，造成的一切后果由</w:t>
            </w:r>
            <w:r>
              <w:rPr>
                <w:rFonts w:hint="eastAsia" w:ascii="Times New Roman" w:hAnsi="Times New Roman" w:cs="Times New Roman"/>
                <w:highlight w:val="none"/>
              </w:rPr>
              <w:t>比选申请人</w:t>
            </w:r>
            <w:r>
              <w:rPr>
                <w:rFonts w:ascii="Times New Roman" w:hAnsi="Times New Roman" w:cs="Times New Roman"/>
                <w:highlight w:val="none"/>
              </w:rPr>
              <w:t>自负。</w:t>
            </w:r>
          </w:p>
        </w:tc>
      </w:tr>
      <w:tr w14:paraId="21BC1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473C05BC">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15</w:t>
            </w:r>
          </w:p>
        </w:tc>
        <w:tc>
          <w:tcPr>
            <w:tcW w:w="1962" w:type="dxa"/>
            <w:vAlign w:val="center"/>
          </w:tcPr>
          <w:p w14:paraId="311BB0B5">
            <w:pPr>
              <w:wordWrap w:val="0"/>
              <w:spacing w:before="156" w:beforeLines="50" w:line="42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文件修改发出的形式</w:t>
            </w:r>
          </w:p>
        </w:tc>
        <w:tc>
          <w:tcPr>
            <w:tcW w:w="6895" w:type="dxa"/>
            <w:vAlign w:val="center"/>
          </w:tcPr>
          <w:p w14:paraId="1D48D1F4">
            <w:pPr>
              <w:pStyle w:val="21"/>
              <w:wordWrap w:val="0"/>
              <w:autoSpaceDE/>
              <w:autoSpaceDN/>
              <w:spacing w:line="420" w:lineRule="exact"/>
              <w:jc w:val="both"/>
              <w:rPr>
                <w:rFonts w:ascii="Times New Roman"/>
                <w:color w:val="auto"/>
                <w:sz w:val="21"/>
                <w:szCs w:val="21"/>
                <w:highlight w:val="none"/>
              </w:rPr>
            </w:pPr>
            <w:r>
              <w:rPr>
                <w:rFonts w:ascii="Times New Roman"/>
                <w:color w:val="auto"/>
                <w:kern w:val="2"/>
                <w:sz w:val="21"/>
                <w:szCs w:val="21"/>
                <w:highlight w:val="none"/>
              </w:rPr>
              <w:t>同</w:t>
            </w:r>
            <w:r>
              <w:rPr>
                <w:rFonts w:hint="eastAsia" w:ascii="Times New Roman"/>
                <w:color w:val="auto"/>
                <w:kern w:val="2"/>
                <w:sz w:val="21"/>
                <w:szCs w:val="21"/>
                <w:highlight w:val="none"/>
              </w:rPr>
              <w:t>比选</w:t>
            </w:r>
            <w:r>
              <w:rPr>
                <w:rFonts w:ascii="Times New Roman"/>
                <w:color w:val="auto"/>
                <w:kern w:val="2"/>
                <w:sz w:val="21"/>
                <w:szCs w:val="21"/>
                <w:highlight w:val="none"/>
              </w:rPr>
              <w:t>文件澄清发出的形式。</w:t>
            </w:r>
          </w:p>
        </w:tc>
      </w:tr>
      <w:tr w14:paraId="79B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3" w:type="dxa"/>
            <w:vAlign w:val="center"/>
          </w:tcPr>
          <w:p w14:paraId="52590118">
            <w:pPr>
              <w:spacing w:line="360" w:lineRule="auto"/>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16</w:t>
            </w:r>
          </w:p>
        </w:tc>
        <w:tc>
          <w:tcPr>
            <w:tcW w:w="1962" w:type="dxa"/>
            <w:vAlign w:val="center"/>
          </w:tcPr>
          <w:p w14:paraId="5313C5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分包</w:t>
            </w:r>
          </w:p>
        </w:tc>
        <w:tc>
          <w:tcPr>
            <w:tcW w:w="6895" w:type="dxa"/>
            <w:vAlign w:val="center"/>
          </w:tcPr>
          <w:p w14:paraId="1947C2E2">
            <w:pPr>
              <w:numPr>
                <w:ilvl w:val="-1"/>
                <w:numId w:val="0"/>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1.</w:t>
            </w:r>
            <w:r>
              <w:rPr>
                <w:rFonts w:hint="eastAsia" w:ascii="Times New Roman" w:hAnsi="Times New Roman" w:cs="Times New Roman"/>
                <w:szCs w:val="21"/>
                <w:highlight w:val="none"/>
              </w:rPr>
              <w:t>不允许转包或违法分包。</w:t>
            </w:r>
          </w:p>
          <w:p w14:paraId="35787147">
            <w:pPr>
              <w:numPr>
                <w:ilvl w:val="-1"/>
                <w:numId w:val="0"/>
              </w:numPr>
              <w:spacing w:line="360" w:lineRule="auto"/>
              <w:rPr>
                <w:rFonts w:ascii="Times New Roman" w:hAnsi="Times New Roman" w:cs="Times New Roman"/>
                <w:color w:val="000000"/>
                <w:szCs w:val="21"/>
                <w:highlight w:val="none"/>
                <w:shd w:val="clear" w:color="auto" w:fill="FFFFFF"/>
              </w:rPr>
            </w:pPr>
            <w:r>
              <w:rPr>
                <w:rFonts w:hint="eastAsia" w:ascii="Times New Roman" w:hAnsi="Times New Roman" w:cs="Times New Roman"/>
                <w:szCs w:val="21"/>
                <w:highlight w:val="none"/>
                <w:lang w:val="en-US" w:eastAsia="zh-CN"/>
              </w:rPr>
              <w:t>2.</w:t>
            </w:r>
            <w:r>
              <w:rPr>
                <w:rFonts w:hint="eastAsia" w:ascii="Times New Roman" w:hAnsi="Times New Roman" w:cs="Times New Roman"/>
                <w:szCs w:val="21"/>
                <w:highlight w:val="none"/>
              </w:rPr>
              <w:t>如需分包，应选择</w:t>
            </w:r>
            <w:r>
              <w:rPr>
                <w:rFonts w:ascii="Times New Roman" w:hAnsi="Times New Roman" w:cs="Times New Roman"/>
                <w:szCs w:val="21"/>
                <w:highlight w:val="none"/>
              </w:rPr>
              <w:t>具有相应资质条件的分包单位，</w:t>
            </w:r>
            <w:r>
              <w:rPr>
                <w:rFonts w:hint="eastAsia" w:ascii="Times New Roman" w:hAnsi="Times New Roman" w:cs="Times New Roman"/>
                <w:szCs w:val="21"/>
                <w:highlight w:val="none"/>
              </w:rPr>
              <w:t>且</w:t>
            </w:r>
            <w:r>
              <w:rPr>
                <w:rFonts w:ascii="Times New Roman" w:hAnsi="Times New Roman" w:cs="Times New Roman"/>
                <w:szCs w:val="21"/>
                <w:highlight w:val="none"/>
              </w:rPr>
              <w:t>必须经项目业主认可。</w:t>
            </w:r>
          </w:p>
        </w:tc>
      </w:tr>
      <w:tr w14:paraId="1A62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3" w:type="dxa"/>
            <w:vAlign w:val="center"/>
          </w:tcPr>
          <w:p w14:paraId="482C2E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17</w:t>
            </w:r>
          </w:p>
        </w:tc>
        <w:tc>
          <w:tcPr>
            <w:tcW w:w="1962" w:type="dxa"/>
            <w:vAlign w:val="center"/>
          </w:tcPr>
          <w:p w14:paraId="3762F7C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构成</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文件的其他材料</w:t>
            </w:r>
          </w:p>
        </w:tc>
        <w:tc>
          <w:tcPr>
            <w:tcW w:w="6895" w:type="dxa"/>
            <w:vAlign w:val="center"/>
          </w:tcPr>
          <w:p w14:paraId="7BB95374">
            <w:pPr>
              <w:spacing w:line="360" w:lineRule="auto"/>
              <w:ind w:left="16" w:leftChars="8"/>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发出的补充资料、答疑纪要和补遗书等内容</w:t>
            </w:r>
          </w:p>
        </w:tc>
      </w:tr>
      <w:tr w14:paraId="062C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6F04CCD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18</w:t>
            </w:r>
          </w:p>
        </w:tc>
        <w:tc>
          <w:tcPr>
            <w:tcW w:w="1962" w:type="dxa"/>
            <w:vAlign w:val="center"/>
          </w:tcPr>
          <w:p w14:paraId="5DA07B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p>
        </w:tc>
        <w:tc>
          <w:tcPr>
            <w:tcW w:w="6895" w:type="dxa"/>
            <w:vAlign w:val="center"/>
          </w:tcPr>
          <w:p w14:paraId="399C138F">
            <w:pPr>
              <w:tabs>
                <w:tab w:val="left" w:pos="5220"/>
                <w:tab w:val="left" w:pos="5400"/>
                <w:tab w:val="left" w:pos="5580"/>
              </w:tabs>
              <w:autoSpaceDE w:val="0"/>
              <w:autoSpaceDN w:val="0"/>
              <w:spacing w:line="360" w:lineRule="auto"/>
              <w:jc w:val="left"/>
              <w:rPr>
                <w:rFonts w:ascii="Times New Roman" w:hAnsi="Times New Roman" w:cs="Times New Roman"/>
                <w:color w:val="000000"/>
                <w:szCs w:val="21"/>
                <w:highlight w:val="red"/>
              </w:rPr>
            </w:pP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为：</w:t>
            </w:r>
            <w:r>
              <w:rPr>
                <w:rFonts w:hint="default" w:ascii="Times New Roman" w:hAnsi="Times New Roman" w:eastAsia="宋体" w:cs="Times New Roman"/>
                <w:color w:val="000000"/>
                <w:kern w:val="0"/>
                <w:sz w:val="21"/>
                <w:szCs w:val="21"/>
                <w:highlight w:val="none"/>
                <w:lang w:val="en-US" w:eastAsia="zh-CN" w:bidi="ar-SA"/>
              </w:rPr>
              <w:t>202</w:t>
            </w:r>
            <w:r>
              <w:rPr>
                <w:rFonts w:hint="eastAsia" w:ascii="Times New Roman" w:hAnsi="Times New Roman" w:cs="Times New Roman"/>
                <w:color w:val="000000"/>
                <w:kern w:val="0"/>
                <w:sz w:val="21"/>
                <w:szCs w:val="21"/>
                <w:highlight w:val="none"/>
                <w:lang w:val="en-US" w:eastAsia="zh-CN" w:bidi="ar-SA"/>
              </w:rPr>
              <w:t>5</w:t>
            </w:r>
            <w:r>
              <w:rPr>
                <w:rFonts w:hint="default" w:ascii="Times New Roman" w:hAnsi="Times New Roman" w:eastAsia="宋体" w:cs="Times New Roman"/>
                <w:color w:val="000000"/>
                <w:kern w:val="0"/>
                <w:sz w:val="21"/>
                <w:szCs w:val="21"/>
                <w:highlight w:val="none"/>
                <w:lang w:val="en-US" w:eastAsia="zh-CN" w:bidi="ar-SA"/>
              </w:rPr>
              <w:t>年</w:t>
            </w:r>
            <w:r>
              <w:rPr>
                <w:rFonts w:hint="eastAsia" w:ascii="Times New Roman" w:hAnsi="Times New Roman" w:cs="Times New Roman"/>
                <w:color w:val="000000"/>
                <w:kern w:val="0"/>
                <w:sz w:val="21"/>
                <w:szCs w:val="21"/>
                <w:highlight w:val="none"/>
                <w:lang w:val="en-US" w:eastAsia="zh-CN" w:bidi="ar-SA"/>
              </w:rPr>
              <w:t>9</w:t>
            </w:r>
            <w:r>
              <w:rPr>
                <w:rFonts w:hint="default" w:ascii="Times New Roman" w:hAnsi="Times New Roman" w:eastAsia="宋体" w:cs="Times New Roman"/>
                <w:color w:val="000000"/>
                <w:kern w:val="0"/>
                <w:sz w:val="21"/>
                <w:szCs w:val="21"/>
                <w:highlight w:val="none"/>
                <w:lang w:val="en-US" w:eastAsia="zh-CN" w:bidi="ar-SA"/>
              </w:rPr>
              <w:t>月</w:t>
            </w:r>
            <w:r>
              <w:rPr>
                <w:rFonts w:hint="eastAsia" w:ascii="Times New Roman" w:hAnsi="Times New Roman" w:cs="Times New Roman"/>
                <w:color w:val="000000"/>
                <w:kern w:val="0"/>
                <w:sz w:val="21"/>
                <w:szCs w:val="21"/>
                <w:highlight w:val="none"/>
                <w:lang w:val="en-US" w:eastAsia="zh-CN" w:bidi="ar-SA"/>
              </w:rPr>
              <w:t>30</w:t>
            </w:r>
            <w:r>
              <w:rPr>
                <w:rFonts w:hint="default" w:ascii="Times New Roman" w:hAnsi="Times New Roman" w:eastAsia="宋体" w:cs="Times New Roman"/>
                <w:color w:val="000000"/>
                <w:kern w:val="0"/>
                <w:sz w:val="21"/>
                <w:szCs w:val="21"/>
                <w:highlight w:val="none"/>
                <w:lang w:val="en-US" w:eastAsia="zh-CN" w:bidi="ar-SA"/>
              </w:rPr>
              <w:t>日</w:t>
            </w:r>
            <w:r>
              <w:rPr>
                <w:rFonts w:hint="eastAsia" w:ascii="Times New Roman" w:hAnsi="Times New Roman" w:cs="Times New Roman"/>
                <w:color w:val="000000"/>
                <w:kern w:val="0"/>
                <w:sz w:val="21"/>
                <w:szCs w:val="21"/>
                <w:highlight w:val="none"/>
                <w:lang w:val="en-US" w:eastAsia="zh-CN" w:bidi="ar-SA"/>
              </w:rPr>
              <w:t>9</w:t>
            </w:r>
            <w:r>
              <w:rPr>
                <w:rFonts w:hint="default" w:ascii="Times New Roman" w:hAnsi="Times New Roman" w:eastAsia="宋体" w:cs="Times New Roman"/>
                <w:color w:val="000000"/>
                <w:kern w:val="0"/>
                <w:sz w:val="21"/>
                <w:szCs w:val="21"/>
                <w:highlight w:val="none"/>
                <w:lang w:val="en-US" w:eastAsia="zh-CN" w:bidi="ar-SA"/>
              </w:rPr>
              <w:t>时</w:t>
            </w:r>
            <w:r>
              <w:rPr>
                <w:rFonts w:hint="eastAsia" w:ascii="Times New Roman" w:hAnsi="Times New Roman" w:cs="Times New Roman"/>
                <w:color w:val="000000"/>
                <w:kern w:val="0"/>
                <w:sz w:val="21"/>
                <w:szCs w:val="21"/>
                <w:highlight w:val="none"/>
                <w:lang w:val="en-US" w:eastAsia="zh-CN" w:bidi="ar-SA"/>
              </w:rPr>
              <w:t>30</w:t>
            </w:r>
            <w:r>
              <w:rPr>
                <w:rFonts w:hint="default" w:ascii="Times New Roman" w:hAnsi="Times New Roman" w:eastAsia="宋体" w:cs="Times New Roman"/>
                <w:color w:val="000000"/>
                <w:kern w:val="0"/>
                <w:sz w:val="21"/>
                <w:szCs w:val="21"/>
                <w:highlight w:val="none"/>
                <w:lang w:val="en-US" w:eastAsia="zh-CN" w:bidi="ar-SA"/>
              </w:rPr>
              <w:t>分</w:t>
            </w:r>
            <w:r>
              <w:rPr>
                <w:rFonts w:ascii="Times New Roman" w:hAnsi="Times New Roman" w:cs="Times New Roman"/>
                <w:color w:val="000000"/>
                <w:szCs w:val="21"/>
                <w:highlight w:val="none"/>
              </w:rPr>
              <w:t>；</w:t>
            </w:r>
          </w:p>
          <w:p w14:paraId="396D5521">
            <w:pPr>
              <w:spacing w:line="360" w:lineRule="auto"/>
              <w:jc w:val="left"/>
              <w:rPr>
                <w:rFonts w:ascii="Times New Roman" w:hAnsi="Times New Roman" w:cs="Times New Roman"/>
                <w:color w:val="000000"/>
                <w:szCs w:val="21"/>
                <w:highlight w:val="red"/>
              </w:rPr>
            </w:pPr>
            <w:r>
              <w:rPr>
                <w:rFonts w:ascii="Times New Roman" w:hAnsi="Times New Roman" w:cs="Times New Roman"/>
                <w:color w:val="000000"/>
                <w:szCs w:val="21"/>
                <w:highlight w:val="none"/>
              </w:rPr>
              <w:t>注：若有补遗书修改的，以补遗书中确定的时间为准。</w:t>
            </w:r>
          </w:p>
        </w:tc>
      </w:tr>
      <w:tr w14:paraId="3280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48C4EF7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19</w:t>
            </w:r>
          </w:p>
        </w:tc>
        <w:tc>
          <w:tcPr>
            <w:tcW w:w="1962" w:type="dxa"/>
            <w:vAlign w:val="center"/>
          </w:tcPr>
          <w:p w14:paraId="42413A52">
            <w:pPr>
              <w:pStyle w:val="11"/>
              <w:adjustRightInd w:val="0"/>
              <w:snapToGrid w:val="0"/>
              <w:spacing w:line="360" w:lineRule="exact"/>
              <w:jc w:val="center"/>
              <w:rPr>
                <w:rFonts w:ascii="Times New Roman" w:hAnsi="Times New Roman" w:cs="Times New Roman"/>
                <w:highlight w:val="none"/>
              </w:rPr>
            </w:pPr>
            <w:r>
              <w:rPr>
                <w:rFonts w:hint="eastAsia" w:ascii="Times New Roman" w:hAnsi="Times New Roman" w:cs="Times New Roman"/>
                <w:highlight w:val="none"/>
              </w:rPr>
              <w:t>比选申请文件</w:t>
            </w:r>
            <w:r>
              <w:rPr>
                <w:rFonts w:ascii="Times New Roman" w:hAnsi="Times New Roman" w:cs="Times New Roman"/>
                <w:highlight w:val="none"/>
              </w:rPr>
              <w:t>的组成</w:t>
            </w:r>
          </w:p>
        </w:tc>
        <w:tc>
          <w:tcPr>
            <w:tcW w:w="6895" w:type="dxa"/>
            <w:vAlign w:val="center"/>
          </w:tcPr>
          <w:p w14:paraId="56A6956E">
            <w:pPr>
              <w:pStyle w:val="22"/>
              <w:widowControl/>
              <w:spacing w:line="240" w:lineRule="auto"/>
              <w:ind w:firstLine="0" w:firstLineChars="0"/>
              <w:jc w:val="left"/>
              <w:rPr>
                <w:color w:val="000000"/>
                <w:szCs w:val="21"/>
                <w:highlight w:val="none"/>
              </w:rPr>
            </w:pPr>
            <w:r>
              <w:rPr>
                <w:szCs w:val="21"/>
                <w:highlight w:val="none"/>
              </w:rPr>
              <w:t>（1）</w:t>
            </w: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4AA10572">
            <w:pPr>
              <w:pStyle w:val="22"/>
              <w:widowControl/>
              <w:spacing w:line="240" w:lineRule="auto"/>
              <w:ind w:firstLine="0" w:firstLineChars="0"/>
              <w:jc w:val="left"/>
              <w:rPr>
                <w:color w:val="000000"/>
                <w:szCs w:val="21"/>
                <w:highlight w:val="none"/>
              </w:rPr>
            </w:pPr>
            <w:r>
              <w:rPr>
                <w:szCs w:val="21"/>
                <w:highlight w:val="none"/>
              </w:rPr>
              <w:t>（2）</w:t>
            </w:r>
            <w:r>
              <w:rPr>
                <w:color w:val="000000"/>
                <w:szCs w:val="21"/>
                <w:highlight w:val="none"/>
              </w:rPr>
              <w:t>法定代表人身份证明</w:t>
            </w:r>
          </w:p>
          <w:p w14:paraId="0AAA155C">
            <w:pPr>
              <w:pStyle w:val="22"/>
              <w:widowControl/>
              <w:spacing w:line="240" w:lineRule="auto"/>
              <w:ind w:firstLine="0" w:firstLineChars="0"/>
              <w:jc w:val="left"/>
              <w:rPr>
                <w:color w:val="000000"/>
                <w:szCs w:val="21"/>
                <w:highlight w:val="none"/>
              </w:rPr>
            </w:pPr>
            <w:r>
              <w:rPr>
                <w:szCs w:val="21"/>
                <w:highlight w:val="none"/>
              </w:rPr>
              <w:t>（3）</w:t>
            </w:r>
            <w:r>
              <w:rPr>
                <w:color w:val="000000"/>
                <w:szCs w:val="21"/>
                <w:highlight w:val="none"/>
              </w:rPr>
              <w:t>授权委托书</w:t>
            </w:r>
          </w:p>
          <w:p w14:paraId="1900CD18">
            <w:pPr>
              <w:pStyle w:val="22"/>
              <w:widowControl/>
              <w:spacing w:line="240" w:lineRule="auto"/>
              <w:ind w:firstLine="0" w:firstLineChars="0"/>
              <w:jc w:val="left"/>
              <w:rPr>
                <w:color w:val="000000"/>
                <w:szCs w:val="21"/>
                <w:highlight w:val="none"/>
              </w:rPr>
            </w:pPr>
            <w:r>
              <w:rPr>
                <w:szCs w:val="21"/>
                <w:highlight w:val="none"/>
              </w:rPr>
              <w:t>（4）</w:t>
            </w:r>
            <w:r>
              <w:rPr>
                <w:color w:val="000000"/>
                <w:szCs w:val="21"/>
                <w:highlight w:val="none"/>
              </w:rPr>
              <w:t>项目管理机构</w:t>
            </w:r>
          </w:p>
          <w:p w14:paraId="5B14969B">
            <w:pPr>
              <w:pStyle w:val="22"/>
              <w:widowControl/>
              <w:spacing w:line="240" w:lineRule="auto"/>
              <w:ind w:firstLine="0" w:firstLineChars="0"/>
              <w:jc w:val="left"/>
              <w:rPr>
                <w:color w:val="000000"/>
                <w:szCs w:val="21"/>
                <w:highlight w:val="none"/>
              </w:rPr>
            </w:pPr>
            <w:r>
              <w:rPr>
                <w:szCs w:val="21"/>
                <w:highlight w:val="none"/>
              </w:rPr>
              <w:t>（</w:t>
            </w:r>
            <w:r>
              <w:rPr>
                <w:rFonts w:hint="eastAsia"/>
                <w:szCs w:val="21"/>
                <w:highlight w:val="none"/>
                <w:lang w:val="en-US" w:eastAsia="zh-CN"/>
              </w:rPr>
              <w:t>5</w:t>
            </w:r>
            <w:r>
              <w:rPr>
                <w:szCs w:val="21"/>
                <w:highlight w:val="none"/>
              </w:rPr>
              <w:t>）</w:t>
            </w:r>
            <w:r>
              <w:rPr>
                <w:color w:val="000000"/>
                <w:szCs w:val="21"/>
                <w:highlight w:val="none"/>
              </w:rPr>
              <w:t>资格审查资料</w:t>
            </w:r>
          </w:p>
          <w:p w14:paraId="5D19F5FB">
            <w:pPr>
              <w:pStyle w:val="22"/>
              <w:widowControl/>
              <w:spacing w:line="240" w:lineRule="auto"/>
              <w:ind w:firstLine="0" w:firstLineChars="0"/>
              <w:jc w:val="left"/>
              <w:rPr>
                <w:rFonts w:hint="default" w:eastAsia="宋体"/>
                <w:kern w:val="0"/>
                <w:sz w:val="28"/>
                <w:szCs w:val="20"/>
                <w:highlight w:val="none"/>
                <w:lang w:val="en-US" w:eastAsia="zh-CN"/>
              </w:rPr>
            </w:pPr>
            <w:r>
              <w:rPr>
                <w:szCs w:val="21"/>
                <w:highlight w:val="none"/>
              </w:rPr>
              <w:t>（</w:t>
            </w:r>
            <w:r>
              <w:rPr>
                <w:rFonts w:hint="eastAsia"/>
                <w:szCs w:val="21"/>
                <w:highlight w:val="none"/>
                <w:lang w:val="en-US" w:eastAsia="zh-CN"/>
              </w:rPr>
              <w:t>6</w:t>
            </w:r>
            <w:r>
              <w:rPr>
                <w:szCs w:val="21"/>
                <w:highlight w:val="none"/>
              </w:rPr>
              <w:t>）</w:t>
            </w:r>
            <w:r>
              <w:rPr>
                <w:rFonts w:hint="eastAsia"/>
                <w:color w:val="000000"/>
                <w:highlight w:val="none"/>
                <w:lang w:val="en-US" w:eastAsia="zh-CN"/>
              </w:rPr>
              <w:t>施工组织设计</w:t>
            </w:r>
          </w:p>
          <w:p w14:paraId="151A7A33">
            <w:pPr>
              <w:pStyle w:val="22"/>
              <w:widowControl/>
              <w:spacing w:line="240" w:lineRule="auto"/>
              <w:ind w:firstLine="0" w:firstLineChars="0"/>
              <w:jc w:val="left"/>
              <w:rPr>
                <w:kern w:val="0"/>
                <w:sz w:val="28"/>
                <w:szCs w:val="20"/>
                <w:highlight w:val="none"/>
              </w:rPr>
            </w:pPr>
            <w:r>
              <w:rPr>
                <w:szCs w:val="21"/>
                <w:highlight w:val="none"/>
              </w:rPr>
              <w:t>（</w:t>
            </w:r>
            <w:r>
              <w:rPr>
                <w:rFonts w:hint="eastAsia"/>
                <w:szCs w:val="21"/>
                <w:highlight w:val="none"/>
                <w:lang w:val="en-US" w:eastAsia="zh-CN"/>
              </w:rPr>
              <w:t>7</w:t>
            </w:r>
            <w:r>
              <w:rPr>
                <w:szCs w:val="21"/>
                <w:highlight w:val="none"/>
              </w:rPr>
              <w:t>）</w:t>
            </w:r>
            <w:r>
              <w:rPr>
                <w:color w:val="000000"/>
                <w:szCs w:val="21"/>
                <w:highlight w:val="none"/>
              </w:rPr>
              <w:t>其他资料</w:t>
            </w:r>
          </w:p>
        </w:tc>
      </w:tr>
      <w:tr w14:paraId="4CD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63" w:type="dxa"/>
            <w:vAlign w:val="center"/>
          </w:tcPr>
          <w:p w14:paraId="317D6F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20</w:t>
            </w:r>
          </w:p>
        </w:tc>
        <w:tc>
          <w:tcPr>
            <w:tcW w:w="1962" w:type="dxa"/>
            <w:vAlign w:val="center"/>
          </w:tcPr>
          <w:p w14:paraId="5F8EFE7C">
            <w:pPr>
              <w:pStyle w:val="11"/>
              <w:spacing w:line="32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w:t>
            </w:r>
            <w:r>
              <w:rPr>
                <w:rFonts w:ascii="Times New Roman" w:hAnsi="Times New Roman" w:cs="Times New Roman"/>
                <w:b/>
                <w:bCs/>
                <w:highlight w:val="none"/>
              </w:rPr>
              <w:t>最高</w:t>
            </w:r>
            <w:r>
              <w:rPr>
                <w:rFonts w:hint="eastAsia" w:ascii="Times New Roman" w:hAnsi="Times New Roman" w:cs="Times New Roman"/>
                <w:b/>
                <w:bCs/>
                <w:highlight w:val="none"/>
              </w:rPr>
              <w:t>比选申请</w:t>
            </w:r>
            <w:r>
              <w:rPr>
                <w:rFonts w:ascii="Times New Roman" w:hAnsi="Times New Roman" w:cs="Times New Roman"/>
                <w:b/>
                <w:bCs/>
                <w:highlight w:val="none"/>
              </w:rPr>
              <w:t>限价</w:t>
            </w:r>
          </w:p>
        </w:tc>
        <w:tc>
          <w:tcPr>
            <w:tcW w:w="6895" w:type="dxa"/>
            <w:vAlign w:val="center"/>
          </w:tcPr>
          <w:p w14:paraId="49AD36CA">
            <w:pPr>
              <w:pStyle w:val="23"/>
              <w:keepNext w:val="0"/>
              <w:keepLines w:val="0"/>
              <w:pageBreakBefore w:val="0"/>
              <w:numPr>
                <w:ilvl w:val="0"/>
                <w:numId w:val="3"/>
              </w:numPr>
              <w:wordWrap/>
              <w:topLinePunct w:val="0"/>
              <w:bidi w:val="0"/>
              <w:snapToGrid/>
              <w:spacing w:line="360" w:lineRule="auto"/>
              <w:ind w:right="105" w:rightChars="50" w:firstLine="0" w:firstLineChars="0"/>
              <w:jc w:val="left"/>
              <w:textAlignment w:val="auto"/>
              <w:rPr>
                <w:highlight w:val="none"/>
              </w:rPr>
            </w:pPr>
            <w:bookmarkStart w:id="3" w:name="OLE_LINK22"/>
            <w:bookmarkStart w:id="4" w:name="OLE_LINK23"/>
            <w:r>
              <w:rPr>
                <w:rFonts w:hint="eastAsia" w:ascii="宋体" w:hAnsi="宋体" w:eastAsia="宋体" w:cs="宋体"/>
                <w:color w:val="auto"/>
                <w:kern w:val="2"/>
                <w:sz w:val="21"/>
                <w:szCs w:val="21"/>
                <w:highlight w:val="none"/>
              </w:rPr>
              <w:t>本项目</w:t>
            </w:r>
            <w:r>
              <w:rPr>
                <w:rFonts w:hint="eastAsia" w:ascii="宋体" w:hAnsi="宋体" w:eastAsia="宋体" w:cs="宋体"/>
                <w:color w:val="auto"/>
                <w:kern w:val="2"/>
                <w:sz w:val="21"/>
                <w:szCs w:val="21"/>
                <w:highlight w:val="none"/>
                <w:lang w:val="en-US" w:eastAsia="zh-CN"/>
              </w:rPr>
              <w:t>最高比选申请限价</w:t>
            </w:r>
            <w:r>
              <w:rPr>
                <w:rFonts w:hint="eastAsia" w:ascii="宋体" w:hAnsi="宋体" w:eastAsia="宋体" w:cs="宋体"/>
                <w:color w:val="auto"/>
                <w:kern w:val="2"/>
                <w:sz w:val="21"/>
                <w:szCs w:val="21"/>
                <w:highlight w:val="none"/>
              </w:rPr>
              <w:t>为</w:t>
            </w:r>
            <w:r>
              <w:rPr>
                <w:rFonts w:hint="eastAsia" w:ascii="宋体" w:hAnsi="宋体" w:eastAsia="宋体" w:cs="宋体"/>
                <w:color w:val="auto"/>
                <w:kern w:val="2"/>
                <w:sz w:val="21"/>
                <w:szCs w:val="21"/>
                <w:highlight w:val="none"/>
                <w:lang w:eastAsia="zh-CN"/>
              </w:rPr>
              <w:t>：</w:t>
            </w:r>
            <w:r>
              <w:rPr>
                <w:rFonts w:hint="eastAsia" w:ascii="宋体" w:hAnsi="宋体" w:eastAsia="宋体" w:cs="宋体"/>
                <w:bCs w:val="0"/>
                <w:color w:val="auto"/>
                <w:kern w:val="2"/>
                <w:sz w:val="21"/>
                <w:szCs w:val="21"/>
                <w:highlight w:val="none"/>
                <w:lang w:val="en-US" w:eastAsia="zh-CN"/>
              </w:rPr>
              <w:t>招标控制价（施工图预算）基础上的取费比例</w:t>
            </w:r>
            <w:r>
              <w:rPr>
                <w:rFonts w:hint="eastAsia" w:ascii="宋体" w:hAnsi="宋体" w:eastAsia="宋体" w:cs="宋体"/>
                <w:bCs w:val="0"/>
                <w:color w:val="auto"/>
                <w:kern w:val="2"/>
                <w:sz w:val="21"/>
                <w:szCs w:val="21"/>
                <w:highlight w:val="none"/>
                <w:u w:val="none"/>
                <w:lang w:val="en-US" w:eastAsia="zh-CN"/>
              </w:rPr>
              <w:t>100</w:t>
            </w:r>
            <w:r>
              <w:rPr>
                <w:rFonts w:hint="eastAsia" w:ascii="宋体" w:hAnsi="宋体" w:eastAsia="宋体" w:cs="宋体"/>
                <w:bCs w:val="0"/>
                <w:color w:val="auto"/>
                <w:kern w:val="2"/>
                <w:sz w:val="21"/>
                <w:szCs w:val="21"/>
                <w:highlight w:val="none"/>
                <w:lang w:val="en-US" w:eastAsia="zh-CN"/>
              </w:rPr>
              <w:t>%</w:t>
            </w:r>
            <w:bookmarkEnd w:id="3"/>
            <w:bookmarkEnd w:id="4"/>
            <w:r>
              <w:rPr>
                <w:rFonts w:hint="eastAsia" w:ascii="宋体" w:hAnsi="宋体" w:eastAsia="宋体" w:cs="宋体"/>
                <w:bCs w:val="0"/>
                <w:color w:val="auto"/>
                <w:kern w:val="2"/>
                <w:sz w:val="21"/>
                <w:szCs w:val="21"/>
                <w:highlight w:val="none"/>
                <w:lang w:val="en-US" w:eastAsia="zh-CN"/>
              </w:rPr>
              <w:t>。</w:t>
            </w:r>
          </w:p>
        </w:tc>
      </w:tr>
      <w:tr w14:paraId="584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863" w:type="dxa"/>
            <w:vAlign w:val="center"/>
          </w:tcPr>
          <w:p w14:paraId="6F4DE696">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21</w:t>
            </w:r>
          </w:p>
        </w:tc>
        <w:tc>
          <w:tcPr>
            <w:tcW w:w="1962" w:type="dxa"/>
            <w:vAlign w:val="center"/>
          </w:tcPr>
          <w:p w14:paraId="03AF3C2A">
            <w:pPr>
              <w:pStyle w:val="11"/>
              <w:spacing w:line="320" w:lineRule="exact"/>
              <w:jc w:val="center"/>
              <w:rPr>
                <w:rFonts w:ascii="Times New Roman" w:hAnsi="Times New Roman" w:cs="Times New Roman"/>
                <w:highlight w:val="none"/>
              </w:rPr>
            </w:pPr>
            <w:r>
              <w:rPr>
                <w:rFonts w:ascii="Times New Roman" w:hAnsi="Times New Roman" w:cs="Times New Roman"/>
                <w:highlight w:val="none"/>
              </w:rPr>
              <w:t>报价方式</w:t>
            </w:r>
          </w:p>
        </w:tc>
        <w:tc>
          <w:tcPr>
            <w:tcW w:w="6895" w:type="dxa"/>
            <w:vAlign w:val="center"/>
          </w:tcPr>
          <w:p w14:paraId="25620EA5">
            <w:pPr>
              <w:pStyle w:val="11"/>
              <w:spacing w:line="360" w:lineRule="auto"/>
              <w:rPr>
                <w:rFonts w:ascii="Times New Roman" w:hAnsi="Times New Roman" w:cs="Times New Roman"/>
                <w:highlight w:val="none"/>
              </w:rPr>
            </w:pPr>
            <w:r>
              <w:rPr>
                <w:rFonts w:hint="eastAsia" w:ascii="宋体" w:hAnsi="宋体" w:eastAsia="宋体" w:cs="宋体"/>
                <w:color w:val="auto"/>
                <w:kern w:val="2"/>
                <w:sz w:val="21"/>
                <w:szCs w:val="21"/>
                <w:highlight w:val="none"/>
                <w:lang w:val="en-US" w:eastAsia="zh-CN"/>
              </w:rPr>
              <w:t>取费比例</w:t>
            </w:r>
          </w:p>
        </w:tc>
      </w:tr>
      <w:tr w14:paraId="077A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863" w:type="dxa"/>
            <w:vAlign w:val="center"/>
          </w:tcPr>
          <w:p w14:paraId="0D13134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22</w:t>
            </w:r>
          </w:p>
        </w:tc>
        <w:tc>
          <w:tcPr>
            <w:tcW w:w="1962" w:type="dxa"/>
            <w:vAlign w:val="center"/>
          </w:tcPr>
          <w:p w14:paraId="0485444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构成</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的其他材料</w:t>
            </w:r>
          </w:p>
        </w:tc>
        <w:tc>
          <w:tcPr>
            <w:tcW w:w="6895" w:type="dxa"/>
            <w:vAlign w:val="center"/>
          </w:tcPr>
          <w:p w14:paraId="74002759">
            <w:pPr>
              <w:spacing w:line="420" w:lineRule="exact"/>
              <w:rPr>
                <w:rFonts w:ascii="Times New Roman" w:hAnsi="Times New Roman" w:cs="Times New Roman"/>
                <w:color w:val="000000"/>
                <w:szCs w:val="21"/>
                <w:highlight w:val="none"/>
              </w:rPr>
            </w:pPr>
            <w:r>
              <w:rPr>
                <w:rFonts w:ascii="Times New Roman" w:hAnsi="Times New Roman" w:cs="Times New Roman"/>
                <w:kern w:val="0"/>
                <w:szCs w:val="21"/>
                <w:highlight w:val="none"/>
              </w:rPr>
              <w:t>见“第</w:t>
            </w:r>
            <w:r>
              <w:rPr>
                <w:rFonts w:hint="eastAsia" w:ascii="Times New Roman" w:hAnsi="Times New Roman" w:cs="Times New Roman"/>
                <w:kern w:val="0"/>
                <w:szCs w:val="21"/>
                <w:highlight w:val="none"/>
                <w:lang w:val="en-US" w:eastAsia="zh-CN"/>
              </w:rPr>
              <w:t>六</w:t>
            </w:r>
            <w:r>
              <w:rPr>
                <w:rFonts w:ascii="Times New Roman" w:hAnsi="Times New Roman" w:cs="Times New Roman"/>
                <w:kern w:val="0"/>
                <w:szCs w:val="21"/>
                <w:highlight w:val="none"/>
              </w:rPr>
              <w:t xml:space="preserve">章 </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格式”目录</w:t>
            </w:r>
          </w:p>
        </w:tc>
      </w:tr>
      <w:tr w14:paraId="4699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3C099FB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23</w:t>
            </w:r>
          </w:p>
        </w:tc>
        <w:tc>
          <w:tcPr>
            <w:tcW w:w="1962" w:type="dxa"/>
            <w:vAlign w:val="center"/>
          </w:tcPr>
          <w:p w14:paraId="09DE5C77">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ascii="Times New Roman" w:hAnsi="Times New Roman" w:cs="Times New Roman"/>
                <w:color w:val="000000"/>
                <w:szCs w:val="21"/>
                <w:highlight w:val="none"/>
              </w:rPr>
              <w:t>报价唯一</w:t>
            </w:r>
          </w:p>
        </w:tc>
        <w:tc>
          <w:tcPr>
            <w:tcW w:w="6895" w:type="dxa"/>
            <w:vAlign w:val="center"/>
          </w:tcPr>
          <w:p w14:paraId="2FEC8693">
            <w:pPr>
              <w:keepNext w:val="0"/>
              <w:keepLines w:val="0"/>
              <w:pageBreakBefore w:val="0"/>
              <w:wordWrap/>
              <w:topLinePunct w:val="0"/>
              <w:bidi w:val="0"/>
              <w:snapToGrid/>
              <w:spacing w:line="360" w:lineRule="auto"/>
              <w:ind w:left="105" w:leftChars="50" w:right="105" w:rightChars="50" w:firstLine="0" w:firstLineChars="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1.本次</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报价为一次性报价；只能有一个</w:t>
            </w:r>
            <w:r>
              <w:rPr>
                <w:rFonts w:hint="eastAsia" w:ascii="宋体" w:hAnsi="宋体" w:cs="宋体"/>
                <w:color w:val="auto"/>
                <w:kern w:val="0"/>
                <w:sz w:val="21"/>
                <w:szCs w:val="21"/>
                <w:highlight w:val="none"/>
                <w:lang w:eastAsia="zh-CN"/>
              </w:rPr>
              <w:t>取费比例</w:t>
            </w:r>
            <w:r>
              <w:rPr>
                <w:rFonts w:hint="eastAsia" w:ascii="宋体" w:hAnsi="宋体" w:eastAsia="宋体" w:cs="宋体"/>
                <w:color w:val="auto"/>
                <w:kern w:val="0"/>
                <w:sz w:val="21"/>
                <w:szCs w:val="21"/>
                <w:highlight w:val="none"/>
              </w:rPr>
              <w:t>，不能进行选择性报价；不接受具有附加条件的报价；不接受报价外的额外优惠、特殊优惠及赠送（或零报价）等报价方式；</w:t>
            </w:r>
          </w:p>
          <w:p w14:paraId="6FBEA6B1">
            <w:pPr>
              <w:spacing w:line="360" w:lineRule="auto"/>
              <w:ind w:left="16" w:leftChars="8"/>
              <w:rPr>
                <w:rFonts w:ascii="Times New Roman" w:hAnsi="Times New Roman" w:cs="Times New Roman"/>
                <w:color w:val="000000"/>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报价不得超过</w:t>
            </w:r>
            <w:r>
              <w:rPr>
                <w:rFonts w:hint="eastAsia" w:ascii="宋体" w:hAnsi="宋体" w:cs="宋体"/>
                <w:color w:val="auto"/>
                <w:kern w:val="0"/>
                <w:sz w:val="21"/>
                <w:szCs w:val="21"/>
                <w:highlight w:val="none"/>
                <w:lang w:val="en-US" w:eastAsia="zh-CN"/>
              </w:rPr>
              <w:t>比选</w:t>
            </w:r>
            <w:r>
              <w:rPr>
                <w:rFonts w:hint="eastAsia" w:ascii="宋体" w:hAnsi="宋体" w:eastAsia="宋体" w:cs="宋体"/>
                <w:color w:val="auto"/>
                <w:kern w:val="0"/>
                <w:sz w:val="21"/>
                <w:szCs w:val="21"/>
                <w:highlight w:val="none"/>
              </w:rPr>
              <w:t>人公布的</w:t>
            </w:r>
            <w:r>
              <w:rPr>
                <w:rFonts w:hint="eastAsia" w:ascii="宋体" w:hAnsi="宋体" w:cs="宋体"/>
                <w:color w:val="auto"/>
                <w:kern w:val="0"/>
                <w:sz w:val="21"/>
                <w:szCs w:val="21"/>
                <w:highlight w:val="none"/>
                <w:lang w:eastAsia="zh-CN"/>
              </w:rPr>
              <w:t>最高</w:t>
            </w:r>
            <w:r>
              <w:rPr>
                <w:rFonts w:hint="eastAsia" w:ascii="宋体" w:hAnsi="宋体" w:cs="宋体"/>
                <w:color w:val="auto"/>
                <w:kern w:val="0"/>
                <w:sz w:val="21"/>
                <w:szCs w:val="21"/>
                <w:highlight w:val="none"/>
                <w:lang w:val="en-US" w:eastAsia="zh-CN"/>
              </w:rPr>
              <w:t>比选申请</w:t>
            </w:r>
            <w:r>
              <w:rPr>
                <w:rFonts w:hint="eastAsia" w:ascii="宋体" w:hAnsi="宋体" w:eastAsia="宋体" w:cs="宋体"/>
                <w:color w:val="auto"/>
                <w:kern w:val="0"/>
                <w:sz w:val="21"/>
                <w:szCs w:val="21"/>
                <w:highlight w:val="none"/>
              </w:rPr>
              <w:t>限价</w:t>
            </w:r>
            <w:r>
              <w:rPr>
                <w:rFonts w:hint="eastAsia" w:ascii="宋体" w:hAnsi="宋体" w:eastAsia="宋体" w:cs="宋体"/>
                <w:color w:val="auto"/>
                <w:kern w:val="2"/>
                <w:sz w:val="21"/>
                <w:szCs w:val="21"/>
                <w:highlight w:val="none"/>
              </w:rPr>
              <w:t>，否则按否决</w:t>
            </w:r>
            <w:r>
              <w:rPr>
                <w:rFonts w:hint="eastAsia" w:ascii="宋体" w:hAnsi="宋体" w:cs="宋体"/>
                <w:color w:val="auto"/>
                <w:kern w:val="2"/>
                <w:sz w:val="21"/>
                <w:szCs w:val="21"/>
                <w:highlight w:val="none"/>
                <w:lang w:val="en-US" w:eastAsia="zh-CN"/>
              </w:rPr>
              <w:t>比选申请</w:t>
            </w:r>
            <w:r>
              <w:rPr>
                <w:rFonts w:hint="eastAsia" w:ascii="宋体" w:hAnsi="宋体" w:eastAsia="宋体" w:cs="宋体"/>
                <w:color w:val="auto"/>
                <w:kern w:val="2"/>
                <w:sz w:val="21"/>
                <w:szCs w:val="21"/>
                <w:highlight w:val="none"/>
              </w:rPr>
              <w:t>处理</w:t>
            </w:r>
            <w:r>
              <w:rPr>
                <w:rFonts w:hint="eastAsia" w:ascii="宋体" w:hAnsi="宋体" w:eastAsia="宋体" w:cs="宋体"/>
                <w:color w:val="auto"/>
                <w:kern w:val="0"/>
                <w:sz w:val="21"/>
                <w:szCs w:val="21"/>
                <w:highlight w:val="none"/>
              </w:rPr>
              <w:t>。</w:t>
            </w:r>
          </w:p>
        </w:tc>
      </w:tr>
      <w:tr w14:paraId="1F30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863" w:type="dxa"/>
            <w:vAlign w:val="center"/>
          </w:tcPr>
          <w:p w14:paraId="6906358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24</w:t>
            </w:r>
          </w:p>
        </w:tc>
        <w:tc>
          <w:tcPr>
            <w:tcW w:w="1962" w:type="dxa"/>
            <w:vAlign w:val="center"/>
          </w:tcPr>
          <w:p w14:paraId="4995FE6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6895" w:type="dxa"/>
            <w:vAlign w:val="center"/>
          </w:tcPr>
          <w:p w14:paraId="6E5E7546">
            <w:pPr>
              <w:pStyle w:val="8"/>
              <w:spacing w:line="360" w:lineRule="auto"/>
              <w:ind w:right="149" w:rightChars="71"/>
              <w:rPr>
                <w:color w:val="000000"/>
                <w:szCs w:val="21"/>
                <w:highlight w:val="red"/>
              </w:rPr>
            </w:pPr>
            <w:r>
              <w:rPr>
                <w:color w:val="000000"/>
                <w:szCs w:val="21"/>
                <w:highlight w:val="none"/>
              </w:rPr>
              <w:t>从</w:t>
            </w:r>
            <w:r>
              <w:rPr>
                <w:rFonts w:hint="eastAsia"/>
                <w:color w:val="000000"/>
                <w:szCs w:val="21"/>
                <w:highlight w:val="none"/>
              </w:rPr>
              <w:t>比选申请文件</w:t>
            </w:r>
            <w:r>
              <w:rPr>
                <w:color w:val="000000"/>
                <w:szCs w:val="21"/>
                <w:highlight w:val="none"/>
              </w:rPr>
              <w:t>递交截止</w:t>
            </w:r>
            <w:r>
              <w:rPr>
                <w:rFonts w:hint="eastAsia"/>
                <w:color w:val="000000"/>
                <w:szCs w:val="21"/>
                <w:highlight w:val="none"/>
              </w:rPr>
              <w:t>时间</w:t>
            </w:r>
            <w:r>
              <w:rPr>
                <w:color w:val="000000"/>
                <w:szCs w:val="21"/>
                <w:highlight w:val="none"/>
              </w:rPr>
              <w:t>起</w:t>
            </w:r>
            <w:r>
              <w:rPr>
                <w:color w:val="000000"/>
                <w:szCs w:val="21"/>
                <w:highlight w:val="none"/>
                <w:u w:val="single"/>
              </w:rPr>
              <w:t>60</w:t>
            </w:r>
            <w:r>
              <w:rPr>
                <w:color w:val="000000"/>
                <w:szCs w:val="21"/>
                <w:highlight w:val="none"/>
              </w:rPr>
              <w:t>个日历天</w:t>
            </w:r>
          </w:p>
        </w:tc>
      </w:tr>
      <w:tr w14:paraId="4B5C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3" w:type="dxa"/>
            <w:vAlign w:val="center"/>
          </w:tcPr>
          <w:p w14:paraId="5A839EF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25</w:t>
            </w:r>
          </w:p>
        </w:tc>
        <w:tc>
          <w:tcPr>
            <w:tcW w:w="1962" w:type="dxa"/>
            <w:vAlign w:val="center"/>
          </w:tcPr>
          <w:p w14:paraId="14B6FBD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★是否允许递交备选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方案</w:t>
            </w:r>
          </w:p>
        </w:tc>
        <w:tc>
          <w:tcPr>
            <w:tcW w:w="6895" w:type="dxa"/>
            <w:vAlign w:val="center"/>
          </w:tcPr>
          <w:p w14:paraId="5AD0FC8B">
            <w:pPr>
              <w:spacing w:line="360" w:lineRule="auto"/>
              <w:rPr>
                <w:rFonts w:ascii="Times New Roman" w:hAnsi="Times New Roman" w:cs="Times New Roman"/>
                <w:highlight w:val="none"/>
              </w:rPr>
            </w:pPr>
            <w:r>
              <w:rPr>
                <w:rFonts w:ascii="Times New Roman" w:hAnsi="Times New Roman" w:cs="Times New Roman"/>
                <w:highlight w:val="none"/>
              </w:rPr>
              <w:t>不允许</w:t>
            </w:r>
          </w:p>
        </w:tc>
      </w:tr>
      <w:tr w14:paraId="3558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79DFD3F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26</w:t>
            </w:r>
          </w:p>
        </w:tc>
        <w:tc>
          <w:tcPr>
            <w:tcW w:w="1962" w:type="dxa"/>
            <w:vAlign w:val="center"/>
          </w:tcPr>
          <w:p w14:paraId="3D4242B9">
            <w:pPr>
              <w:spacing w:line="360" w:lineRule="auto"/>
              <w:jc w:val="center"/>
              <w:rPr>
                <w:rFonts w:ascii="Times New Roman" w:hAnsi="Times New Roman" w:cs="Times New Roman"/>
                <w:color w:val="000000"/>
                <w:szCs w:val="21"/>
                <w:highlight w:val="none"/>
              </w:rPr>
            </w:pPr>
            <w:r>
              <w:rPr>
                <w:rFonts w:ascii="Times New Roman" w:hAnsi="Times New Roman" w:cs="Times New Roman"/>
                <w:b/>
                <w:color w:val="000000"/>
                <w:szCs w:val="21"/>
                <w:highlight w:val="none"/>
              </w:rPr>
              <w:t>★</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的真实性要求</w:t>
            </w:r>
          </w:p>
        </w:tc>
        <w:tc>
          <w:tcPr>
            <w:tcW w:w="6895" w:type="dxa"/>
            <w:vAlign w:val="center"/>
          </w:tcPr>
          <w:p w14:paraId="4D5B3B62">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（包括有关资料、澄清）应不存在</w:t>
            </w:r>
            <w:r>
              <w:rPr>
                <w:rFonts w:ascii="Times New Roman" w:hAnsi="Times New Roman" w:cs="Times New Roman"/>
                <w:szCs w:val="21"/>
                <w:highlight w:val="none"/>
              </w:rPr>
              <w:t>弄虚作假或隐瞒</w:t>
            </w:r>
            <w:r>
              <w:rPr>
                <w:rFonts w:ascii="Times New Roman" w:hAnsi="Times New Roman" w:cs="Times New Roman"/>
                <w:color w:val="000000"/>
                <w:szCs w:val="21"/>
                <w:highlight w:val="none"/>
              </w:rPr>
              <w:t>。</w:t>
            </w:r>
          </w:p>
          <w:p w14:paraId="7377D064">
            <w:pPr>
              <w:spacing w:line="360" w:lineRule="auto"/>
              <w:ind w:left="16" w:leftChars="8"/>
              <w:rPr>
                <w:rFonts w:ascii="Times New Roman" w:hAnsi="Times New Roman" w:cs="Times New Roman"/>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szCs w:val="21"/>
                <w:highlight w:val="none"/>
              </w:rPr>
              <w:t>比选申请人</w:t>
            </w:r>
            <w:r>
              <w:rPr>
                <w:rFonts w:ascii="Times New Roman" w:hAnsi="Times New Roman" w:cs="Times New Roman"/>
                <w:szCs w:val="21"/>
                <w:highlight w:val="none"/>
              </w:rPr>
              <w:t>声明不存在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但被发现存在</w:t>
            </w:r>
            <w:r>
              <w:rPr>
                <w:rFonts w:hint="eastAsia" w:ascii="Times New Roman" w:hAnsi="Times New Roman" w:cs="Times New Roman"/>
                <w:szCs w:val="21"/>
                <w:highlight w:val="none"/>
                <w:lang w:eastAsia="zh-CN"/>
              </w:rPr>
              <w:t>限制参选的情形</w:t>
            </w:r>
            <w:r>
              <w:rPr>
                <w:rFonts w:ascii="Times New Roman" w:hAnsi="Times New Roman" w:cs="Times New Roman"/>
                <w:szCs w:val="21"/>
                <w:highlight w:val="none"/>
              </w:rPr>
              <w:t>的，属于隐瞒情形。</w:t>
            </w:r>
          </w:p>
          <w:p w14:paraId="4E501719">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如</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存在弄虚作假或隐瞒，在评审阶段发现的，</w:t>
            </w:r>
            <w:r>
              <w:rPr>
                <w:rFonts w:hint="eastAsia" w:ascii="Times New Roman" w:hAnsi="Times New Roman" w:cs="Times New Roman"/>
                <w:szCs w:val="21"/>
                <w:highlight w:val="none"/>
                <w:lang w:eastAsia="zh-CN"/>
              </w:rPr>
              <w:t>评审</w:t>
            </w:r>
            <w:r>
              <w:rPr>
                <w:rFonts w:ascii="Times New Roman" w:hAnsi="Times New Roman" w:cs="Times New Roman"/>
                <w:szCs w:val="21"/>
                <w:highlight w:val="none"/>
              </w:rPr>
              <w:t>委员会应将该</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作</w:t>
            </w:r>
            <w:r>
              <w:rPr>
                <w:rFonts w:hint="eastAsia" w:ascii="Times New Roman" w:hAnsi="Times New Roman" w:cs="Times New Roman"/>
                <w:szCs w:val="21"/>
                <w:highlight w:val="none"/>
              </w:rPr>
              <w:t>废标</w:t>
            </w:r>
            <w:r>
              <w:rPr>
                <w:rFonts w:ascii="Times New Roman" w:hAnsi="Times New Roman" w:cs="Times New Roman"/>
                <w:szCs w:val="21"/>
                <w:highlight w:val="none"/>
              </w:rPr>
              <w:t>处理；</w:t>
            </w:r>
            <w:r>
              <w:rPr>
                <w:rFonts w:hint="eastAsia" w:ascii="Times New Roman" w:hAnsi="Times New Roman" w:cs="Times New Roman"/>
                <w:szCs w:val="21"/>
                <w:highlight w:val="none"/>
              </w:rPr>
              <w:t>中选</w:t>
            </w:r>
            <w:r>
              <w:rPr>
                <w:rFonts w:ascii="Times New Roman" w:hAnsi="Times New Roman" w:cs="Times New Roman"/>
                <w:szCs w:val="21"/>
                <w:highlight w:val="none"/>
              </w:rPr>
              <w:t>候选人确定后发现的，</w:t>
            </w:r>
            <w:r>
              <w:rPr>
                <w:rFonts w:hint="eastAsia" w:ascii="Times New Roman" w:hAnsi="Times New Roman" w:cs="Times New Roman"/>
                <w:szCs w:val="21"/>
                <w:highlight w:val="none"/>
              </w:rPr>
              <w:t>比选人</w:t>
            </w:r>
            <w:r>
              <w:rPr>
                <w:rFonts w:ascii="Times New Roman" w:hAnsi="Times New Roman" w:cs="Times New Roman"/>
                <w:szCs w:val="21"/>
                <w:highlight w:val="none"/>
              </w:rPr>
              <w:t>可以取消</w:t>
            </w:r>
            <w:r>
              <w:rPr>
                <w:rFonts w:hint="eastAsia" w:ascii="Times New Roman" w:hAnsi="Times New Roman" w:cs="Times New Roman"/>
                <w:szCs w:val="21"/>
                <w:highlight w:val="none"/>
              </w:rPr>
              <w:t>中选</w:t>
            </w:r>
            <w:r>
              <w:rPr>
                <w:rFonts w:ascii="Times New Roman" w:hAnsi="Times New Roman" w:cs="Times New Roman"/>
                <w:szCs w:val="21"/>
                <w:highlight w:val="none"/>
              </w:rPr>
              <w:t>候选人或</w:t>
            </w:r>
            <w:r>
              <w:rPr>
                <w:rFonts w:hint="eastAsia" w:ascii="Times New Roman" w:hAnsi="Times New Roman" w:cs="Times New Roman"/>
                <w:szCs w:val="21"/>
                <w:highlight w:val="none"/>
              </w:rPr>
              <w:t>中选</w:t>
            </w:r>
            <w:r>
              <w:rPr>
                <w:rFonts w:ascii="Times New Roman" w:hAnsi="Times New Roman" w:cs="Times New Roman"/>
                <w:szCs w:val="21"/>
                <w:highlight w:val="none"/>
              </w:rPr>
              <w:t>人资格。</w:t>
            </w:r>
          </w:p>
        </w:tc>
      </w:tr>
      <w:tr w14:paraId="57EA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3C003DD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27</w:t>
            </w:r>
          </w:p>
        </w:tc>
        <w:tc>
          <w:tcPr>
            <w:tcW w:w="1962" w:type="dxa"/>
            <w:vAlign w:val="center"/>
          </w:tcPr>
          <w:p w14:paraId="79C5919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6895" w:type="dxa"/>
            <w:vAlign w:val="center"/>
          </w:tcPr>
          <w:p w14:paraId="0DB4FA63">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文件格式中的实质性内容进行删减或修改。（注解除外）</w:t>
            </w:r>
          </w:p>
          <w:p w14:paraId="0C917C8D">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可以在格式内容之后另行说明和增加相关的内容。另行说明或自行增加的内容、以及按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格式在空格（下划线）由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填写的内容，不得与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文件的强制性审查标准和禁止性规定相抵触。</w:t>
            </w:r>
          </w:p>
          <w:p w14:paraId="6C47A74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文件提出的所有实质性要求和条件作出实质性响应，并且实质性响应的内容不得互相矛盾。</w:t>
            </w:r>
          </w:p>
          <w:p w14:paraId="32563F48">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应内容完整，字迹清晰可辨。字迹模糊导致无法确认关键技术方案、关键工期、关键工程质量保证措施、</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价格的，其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无效。</w:t>
            </w:r>
          </w:p>
          <w:p w14:paraId="6D824A8B">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所附证明材料应内容完整并清晰可辨。所附证明材料内容不完整或字迹模糊的，</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委</w:t>
            </w:r>
            <w:r>
              <w:rPr>
                <w:rFonts w:ascii="Times New Roman" w:hAnsi="Times New Roman" w:eastAsia="宋体" w:cs="Times New Roman"/>
                <w:color w:val="000000"/>
                <w:szCs w:val="21"/>
                <w:highlight w:val="none"/>
              </w:rPr>
              <w:t>员会可要求</w:t>
            </w:r>
            <w:r>
              <w:rPr>
                <w:rFonts w:hint="default" w:ascii="Times New Roman" w:hAnsi="Times New Roman" w:eastAsia="宋体" w:cs="Times New Roman"/>
                <w:color w:val="000000"/>
                <w:szCs w:val="21"/>
                <w:highlight w:val="none"/>
              </w:rPr>
              <w:t>比选申请人</w:t>
            </w:r>
            <w:r>
              <w:rPr>
                <w:rFonts w:ascii="Times New Roman" w:hAnsi="Times New Roman" w:eastAsia="宋体" w:cs="Times New Roman"/>
                <w:color w:val="000000"/>
                <w:szCs w:val="21"/>
                <w:highlight w:val="none"/>
              </w:rPr>
              <w:t>提供原件核验。</w:t>
            </w:r>
          </w:p>
        </w:tc>
      </w:tr>
      <w:tr w14:paraId="4D76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0E07EF6C">
            <w:pPr>
              <w:spacing w:line="360" w:lineRule="auto"/>
              <w:jc w:val="both"/>
              <w:rPr>
                <w:rFonts w:ascii="Times New Roman" w:hAnsi="Times New Roman" w:cs="Times New Roman"/>
                <w:color w:val="000000"/>
                <w:szCs w:val="21"/>
                <w:highlight w:val="none"/>
              </w:rPr>
            </w:pPr>
          </w:p>
          <w:p w14:paraId="7E7E415E">
            <w:pPr>
              <w:spacing w:line="360" w:lineRule="auto"/>
              <w:jc w:val="center"/>
              <w:rPr>
                <w:rFonts w:ascii="Times New Roman" w:hAnsi="Times New Roman" w:cs="Times New Roman"/>
                <w:color w:val="000000"/>
                <w:szCs w:val="21"/>
                <w:highlight w:val="none"/>
              </w:rPr>
            </w:pPr>
          </w:p>
          <w:p w14:paraId="5F2FC14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28</w:t>
            </w:r>
          </w:p>
        </w:tc>
        <w:tc>
          <w:tcPr>
            <w:tcW w:w="1962" w:type="dxa"/>
            <w:vAlign w:val="center"/>
          </w:tcPr>
          <w:p w14:paraId="3408175F">
            <w:pPr>
              <w:spacing w:line="360" w:lineRule="auto"/>
              <w:jc w:val="both"/>
              <w:rPr>
                <w:rFonts w:ascii="Times New Roman" w:hAnsi="Times New Roman" w:cs="Times New Roman"/>
                <w:color w:val="000000"/>
                <w:szCs w:val="21"/>
                <w:highlight w:val="none"/>
              </w:rPr>
            </w:pPr>
          </w:p>
          <w:p w14:paraId="4BA9BF3B">
            <w:pPr>
              <w:spacing w:line="360" w:lineRule="auto"/>
              <w:jc w:val="center"/>
              <w:rPr>
                <w:rFonts w:ascii="Times New Roman" w:hAnsi="Times New Roman" w:cs="Times New Roman"/>
                <w:color w:val="000000"/>
                <w:szCs w:val="21"/>
                <w:highlight w:val="none"/>
              </w:rPr>
            </w:pPr>
          </w:p>
          <w:p w14:paraId="64F3FDA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6895" w:type="dxa"/>
            <w:vAlign w:val="center"/>
          </w:tcPr>
          <w:p w14:paraId="18A419CE">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ascii="Times New Roman" w:hAnsi="Times New Roman" w:cs="Times New Roman"/>
                <w:b/>
                <w:bCs/>
                <w:color w:val="000000"/>
                <w:szCs w:val="21"/>
                <w:highlight w:val="none"/>
              </w:rPr>
              <w:t>所有要求签字的地方都应用不褪色的墨水或签字笔由本人亲笔手写签字（包括姓和名），不得由他人代签</w:t>
            </w:r>
            <w:r>
              <w:rPr>
                <w:rFonts w:hint="eastAsia" w:ascii="Times New Roman" w:hAnsi="Times New Roman" w:cs="Times New Roman"/>
                <w:b/>
                <w:bCs/>
                <w:color w:val="000000"/>
                <w:szCs w:val="21"/>
                <w:highlight w:val="none"/>
              </w:rPr>
              <w:t>，不得</w:t>
            </w:r>
            <w:r>
              <w:rPr>
                <w:rFonts w:hint="default" w:ascii="Times New Roman" w:hAnsi="Times New Roman" w:eastAsia="宋体" w:cs="Times New Roman"/>
                <w:b/>
                <w:bCs/>
                <w:color w:val="000000"/>
                <w:sz w:val="21"/>
                <w:szCs w:val="21"/>
                <w:highlight w:val="none"/>
              </w:rPr>
              <w:t>使用盖章（如签名章、签字章等）代替</w:t>
            </w:r>
            <w:r>
              <w:rPr>
                <w:rFonts w:ascii="Times New Roman" w:hAnsi="Times New Roman" w:cs="Times New Roman"/>
                <w:b/>
                <w:bCs/>
                <w:color w:val="000000"/>
                <w:szCs w:val="21"/>
                <w:highlight w:val="none"/>
              </w:rPr>
              <w:t>。</w:t>
            </w:r>
          </w:p>
          <w:p w14:paraId="6AC9DF6F">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ascii="Times New Roman" w:hAnsi="Times New Roman" w:cs="Times New Roman"/>
                <w:b/>
                <w:bCs/>
                <w:color w:val="000000"/>
                <w:szCs w:val="21"/>
                <w:highlight w:val="none"/>
              </w:rPr>
              <w:t>所有要求盖章的地方都应加盖</w:t>
            </w:r>
            <w:r>
              <w:rPr>
                <w:rFonts w:hint="eastAsia" w:ascii="Times New Roman" w:hAnsi="Times New Roman" w:cs="Times New Roman"/>
                <w:b/>
                <w:bCs/>
                <w:color w:val="000000"/>
                <w:szCs w:val="21"/>
                <w:highlight w:val="none"/>
              </w:rPr>
              <w:t>比选申请人</w:t>
            </w:r>
            <w:r>
              <w:rPr>
                <w:rFonts w:ascii="Times New Roman" w:hAnsi="Times New Roman" w:cs="Times New Roman"/>
                <w:b/>
                <w:bCs/>
                <w:color w:val="000000"/>
                <w:szCs w:val="21"/>
                <w:highlight w:val="none"/>
              </w:rPr>
              <w:t>单位（法定名称）章，不得使用专用印章（如经济合同章、</w:t>
            </w:r>
            <w:r>
              <w:rPr>
                <w:rFonts w:hint="eastAsia" w:ascii="Times New Roman" w:hAnsi="Times New Roman" w:cs="Times New Roman"/>
                <w:b/>
                <w:bCs/>
                <w:color w:val="000000"/>
                <w:szCs w:val="21"/>
                <w:highlight w:val="none"/>
              </w:rPr>
              <w:t>投标</w:t>
            </w:r>
            <w:r>
              <w:rPr>
                <w:rFonts w:ascii="Times New Roman" w:hAnsi="Times New Roman" w:cs="Times New Roman"/>
                <w:b/>
                <w:bCs/>
                <w:color w:val="000000"/>
                <w:szCs w:val="21"/>
                <w:highlight w:val="none"/>
              </w:rPr>
              <w:t>专用章等）或下属单位印章代替，否则视为无效申请文件。</w:t>
            </w:r>
          </w:p>
          <w:p w14:paraId="053B88F5">
            <w:pPr>
              <w:spacing w:line="360" w:lineRule="auto"/>
              <w:ind w:left="16" w:leftChars="8"/>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ascii="Times New Roman" w:hAnsi="Times New Roman" w:cs="Times New Roman"/>
                <w:szCs w:val="21"/>
                <w:highlight w:val="none"/>
              </w:rPr>
              <w:t>“</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格式”</w:t>
            </w:r>
            <w:r>
              <w:rPr>
                <w:rFonts w:ascii="Times New Roman" w:hAnsi="Times New Roman" w:cs="Times New Roman"/>
                <w:color w:val="000000"/>
                <w:szCs w:val="21"/>
                <w:highlight w:val="none"/>
              </w:rPr>
              <w:t>中要求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“法定代表人或其委托代理人”签字的，如法定代表人亲自申请</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而不委托代理人申请，由法定代表人签字；</w:t>
            </w:r>
            <w:r>
              <w:rPr>
                <w:rFonts w:hint="eastAsia" w:ascii="Times New Roman" w:hAnsi="Times New Roman" w:cs="Times New Roman"/>
                <w:color w:val="000000"/>
                <w:szCs w:val="21"/>
                <w:highlight w:val="none"/>
                <w:lang w:val="en-US" w:eastAsia="zh-CN"/>
              </w:rPr>
              <w:t>如</w:t>
            </w:r>
            <w:r>
              <w:rPr>
                <w:rFonts w:ascii="Times New Roman" w:hAnsi="Times New Roman" w:cs="Times New Roman"/>
                <w:color w:val="000000"/>
                <w:szCs w:val="21"/>
                <w:highlight w:val="none"/>
              </w:rPr>
              <w:t>法定代表人授权委托代理人申请，由委托代理人签字，也可由法定代表人签字。</w:t>
            </w:r>
          </w:p>
          <w:p w14:paraId="79E0823F">
            <w:pPr>
              <w:spacing w:line="360" w:lineRule="auto"/>
              <w:ind w:left="16" w:leftChars="8"/>
              <w:rPr>
                <w:rFonts w:ascii="Times New Roman" w:hAnsi="Times New Roman" w:eastAsia="宋体" w:cs="Times New Roman"/>
                <w:color w:val="000000"/>
                <w:szCs w:val="21"/>
                <w:highlight w:val="none"/>
                <w:u w:val="none"/>
              </w:rPr>
            </w:pPr>
            <w:r>
              <w:rPr>
                <w:rFonts w:ascii="Times New Roman" w:hAnsi="Times New Roman" w:cs="Times New Roman"/>
                <w:color w:val="000000"/>
                <w:szCs w:val="21"/>
                <w:highlight w:val="none"/>
              </w:rPr>
              <w:t>（4）</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若有修改，修改处应由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法定代表人或其委托代理人签字或加盖单位章</w:t>
            </w:r>
            <w:r>
              <w:rPr>
                <w:rFonts w:hint="eastAsia" w:ascii="宋体" w:hAnsi="宋体" w:eastAsia="宋体" w:cs="宋体"/>
                <w:color w:val="auto"/>
                <w:sz w:val="21"/>
                <w:szCs w:val="21"/>
                <w:highlight w:val="none"/>
              </w:rPr>
              <w:t>（鲜章）</w:t>
            </w:r>
            <w:r>
              <w:rPr>
                <w:rFonts w:ascii="Times New Roman" w:hAnsi="Times New Roman" w:cs="Times New Roman"/>
                <w:color w:val="000000"/>
                <w:szCs w:val="21"/>
                <w:highlight w:val="none"/>
              </w:rPr>
              <w:t>。</w:t>
            </w:r>
          </w:p>
        </w:tc>
      </w:tr>
      <w:tr w14:paraId="31D1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643C9BE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29</w:t>
            </w:r>
          </w:p>
        </w:tc>
        <w:tc>
          <w:tcPr>
            <w:tcW w:w="1962" w:type="dxa"/>
            <w:vAlign w:val="center"/>
          </w:tcPr>
          <w:p w14:paraId="44D80867">
            <w:pPr>
              <w:spacing w:line="360" w:lineRule="auto"/>
              <w:ind w:left="16" w:leftChars="8"/>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★正、副本</w:t>
            </w:r>
          </w:p>
        </w:tc>
        <w:tc>
          <w:tcPr>
            <w:tcW w:w="6895" w:type="dxa"/>
            <w:vAlign w:val="center"/>
          </w:tcPr>
          <w:p w14:paraId="59A21052">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正本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份，副本</w:t>
            </w:r>
            <w:r>
              <w:rPr>
                <w:rFonts w:ascii="Times New Roman" w:hAnsi="Times New Roman" w:cs="Times New Roman"/>
                <w:color w:val="000000"/>
                <w:szCs w:val="21"/>
                <w:highlight w:val="none"/>
                <w:u w:val="single"/>
              </w:rPr>
              <w:t>1</w:t>
            </w:r>
            <w:r>
              <w:rPr>
                <w:rFonts w:ascii="Times New Roman" w:hAnsi="Times New Roman" w:cs="Times New Roman"/>
                <w:color w:val="000000"/>
                <w:szCs w:val="21"/>
                <w:highlight w:val="none"/>
              </w:rPr>
              <w:t>份。</w:t>
            </w:r>
            <w:r>
              <w:rPr>
                <w:rFonts w:hint="eastAsia" w:ascii="Times New Roman" w:hAnsi="Times New Roman" w:cs="Times New Roman"/>
                <w:color w:val="000000"/>
                <w:szCs w:val="21"/>
                <w:highlight w:val="none"/>
                <w:lang w:val="en-US" w:eastAsia="zh-CN"/>
              </w:rPr>
              <w:t>副本以电子档U盘形式递交，内容为：比选申请文件正本的电子档扫描件，当正副本内容不一致的以纸质版正本为准，但副本和正本内容不一致造成的评审差错由比选申请人自行承担。</w:t>
            </w:r>
          </w:p>
        </w:tc>
      </w:tr>
      <w:tr w14:paraId="5B60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Align w:val="center"/>
          </w:tcPr>
          <w:p w14:paraId="379160D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0</w:t>
            </w:r>
          </w:p>
        </w:tc>
        <w:tc>
          <w:tcPr>
            <w:tcW w:w="1962" w:type="dxa"/>
            <w:vAlign w:val="center"/>
          </w:tcPr>
          <w:p w14:paraId="333FC2D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装订</w:t>
            </w:r>
          </w:p>
        </w:tc>
        <w:tc>
          <w:tcPr>
            <w:tcW w:w="6895" w:type="dxa"/>
            <w:vAlign w:val="center"/>
          </w:tcPr>
          <w:p w14:paraId="073C1FE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（1）比选申请文件的正本用A4复印纸（图、表及证件可以除外）编制或复制。</w:t>
            </w:r>
          </w:p>
          <w:p w14:paraId="4B27D08F">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（2）比选申请文件的正本应采用粘贴方式左侧装订，不得采用活页夹等可随时拆换的方式装订，不得有零散页。</w:t>
            </w:r>
          </w:p>
          <w:p w14:paraId="1CD421A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（3）比选申请文件应严格按照</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“比选申请文件格式”中的目录次序装订；若同一册的内容较多，可装订成若干分册，并在封面标明次序及册数。</w:t>
            </w:r>
          </w:p>
          <w:p w14:paraId="08C45F24">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（4）比选申请文件中的证明、证件及附件等的复制件应集中紧附在相应正文内容后面，并尽量与前面正文部分的顺序相对应。</w:t>
            </w:r>
          </w:p>
          <w:p w14:paraId="6735683C">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（5）修改的比选申请文件的装订也应按本要求办理。</w:t>
            </w:r>
          </w:p>
        </w:tc>
      </w:tr>
      <w:tr w14:paraId="6FD9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863" w:type="dxa"/>
            <w:vAlign w:val="center"/>
          </w:tcPr>
          <w:p w14:paraId="7CAF094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1</w:t>
            </w:r>
          </w:p>
        </w:tc>
        <w:tc>
          <w:tcPr>
            <w:tcW w:w="1962" w:type="dxa"/>
            <w:vAlign w:val="center"/>
          </w:tcPr>
          <w:p w14:paraId="0820A2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包装和密封</w:t>
            </w:r>
          </w:p>
        </w:tc>
        <w:tc>
          <w:tcPr>
            <w:tcW w:w="6895" w:type="dxa"/>
            <w:vAlign w:val="center"/>
          </w:tcPr>
          <w:p w14:paraId="5D6C7050">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（1）比选申请文件的正本和副本应分开包装，正本一个包装，副本一个包装。</w:t>
            </w:r>
          </w:p>
          <w:p w14:paraId="6130AF6A">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（2）每一个包装都应在其封套的封口处加贴封条，在封套的封口处加盖比选申请人单位章。</w:t>
            </w:r>
          </w:p>
          <w:p w14:paraId="45444DC0">
            <w:pPr>
              <w:spacing w:line="360" w:lineRule="auto"/>
              <w:ind w:left="0" w:leftChars="0"/>
              <w:jc w:val="left"/>
              <w:rPr>
                <w:rFonts w:ascii="Times New Roman" w:hAnsi="Times New Roman" w:eastAsia="宋体" w:cs="Times New Roman"/>
                <w:kern w:val="0"/>
                <w:szCs w:val="21"/>
                <w:highlight w:val="none"/>
              </w:rPr>
            </w:pPr>
            <w:r>
              <w:rPr>
                <w:rFonts w:ascii="Times New Roman" w:hAnsi="Times New Roman" w:cs="Times New Roman"/>
                <w:color w:val="000000"/>
                <w:szCs w:val="21"/>
                <w:highlight w:val="none"/>
              </w:rPr>
              <w:t>（3）每一个包装的封套上应清楚地标记“正本”或“副本”字样。</w:t>
            </w:r>
          </w:p>
        </w:tc>
      </w:tr>
      <w:tr w14:paraId="19B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73DE1A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val="en-US" w:eastAsia="zh-CN"/>
              </w:rPr>
              <w:t>2</w:t>
            </w:r>
          </w:p>
        </w:tc>
        <w:tc>
          <w:tcPr>
            <w:tcW w:w="1962" w:type="dxa"/>
            <w:vAlign w:val="center"/>
          </w:tcPr>
          <w:p w14:paraId="0625C763">
            <w:pPr>
              <w:spacing w:line="360" w:lineRule="auto"/>
              <w:jc w:val="center"/>
              <w:rPr>
                <w:rFonts w:ascii="Times New Roman" w:hAnsi="Times New Roman" w:cs="Times New Roman"/>
                <w:bCs/>
                <w:color w:val="000000"/>
                <w:szCs w:val="21"/>
                <w:highlight w:val="none"/>
              </w:rPr>
            </w:pPr>
            <w:r>
              <w:rPr>
                <w:rFonts w:ascii="Times New Roman" w:hAnsi="Times New Roman" w:cs="Times New Roman"/>
                <w:color w:val="000000"/>
                <w:szCs w:val="21"/>
                <w:highlight w:val="none"/>
              </w:rPr>
              <w:t>封套上写明</w:t>
            </w:r>
          </w:p>
        </w:tc>
        <w:tc>
          <w:tcPr>
            <w:tcW w:w="6895" w:type="dxa"/>
            <w:vAlign w:val="center"/>
          </w:tcPr>
          <w:p w14:paraId="1AB481FB">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比选人名称：四川蜀道新能源科技发展有限公司</w:t>
            </w:r>
          </w:p>
          <w:p w14:paraId="1B6628D9">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比选申请人的地址：</w:t>
            </w:r>
          </w:p>
          <w:p w14:paraId="6E005532">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比选申请人的全称：</w:t>
            </w:r>
          </w:p>
          <w:p w14:paraId="737B1555">
            <w:pPr>
              <w:spacing w:line="360" w:lineRule="auto"/>
              <w:ind w:left="16" w:leftChars="8"/>
              <w:jc w:val="left"/>
              <w:rPr>
                <w:rFonts w:ascii="Times New Roman" w:hAnsi="Times New Roman" w:cs="Times New Roman"/>
                <w:bCs/>
                <w:color w:val="000000"/>
                <w:kern w:val="0"/>
                <w:szCs w:val="21"/>
                <w:highlight w:val="none"/>
              </w:rPr>
            </w:pPr>
            <w:r>
              <w:rPr>
                <w:rFonts w:ascii="Times New Roman" w:hAnsi="Times New Roman" w:cs="Times New Roman"/>
                <w:color w:val="000000"/>
                <w:szCs w:val="21"/>
                <w:highlight w:val="none"/>
                <w:u w:val="single"/>
              </w:rPr>
              <w:t>（项目名称）</w:t>
            </w:r>
            <w:r>
              <w:rPr>
                <w:rFonts w:ascii="Times New Roman" w:hAnsi="Times New Roman" w:cs="Times New Roman"/>
                <w:color w:val="000000"/>
                <w:szCs w:val="21"/>
                <w:highlight w:val="none"/>
              </w:rPr>
              <w:t>比选申请文件在</w:t>
            </w:r>
            <w:r>
              <w:rPr>
                <w:rFonts w:hint="eastAsia" w:ascii="Times New Roman" w:hAnsi="Times New Roman" w:cs="Times New Roman"/>
                <w:color w:val="000000"/>
                <w:szCs w:val="21"/>
                <w:highlight w:val="none"/>
                <w:lang w:eastAsia="zh-CN"/>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30</w:t>
            </w:r>
            <w:r>
              <w:rPr>
                <w:rFonts w:ascii="Times New Roman" w:hAnsi="Times New Roman" w:cs="Times New Roman"/>
                <w:color w:val="000000"/>
                <w:szCs w:val="21"/>
                <w:highlight w:val="none"/>
              </w:rPr>
              <w:t>日</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时</w:t>
            </w:r>
            <w:r>
              <w:rPr>
                <w:rFonts w:hint="eastAsia" w:ascii="Times New Roman" w:hAnsi="Times New Roman" w:cs="Times New Roman"/>
                <w:color w:val="000000"/>
                <w:szCs w:val="21"/>
                <w:highlight w:val="none"/>
                <w:lang w:val="en-US" w:eastAsia="zh-CN"/>
              </w:rPr>
              <w:t>30</w:t>
            </w:r>
            <w:r>
              <w:rPr>
                <w:rFonts w:ascii="Times New Roman" w:hAnsi="Times New Roman" w:cs="Times New Roman"/>
                <w:color w:val="000000"/>
                <w:szCs w:val="21"/>
                <w:highlight w:val="none"/>
              </w:rPr>
              <w:t>分前不得开启</w:t>
            </w:r>
            <w:r>
              <w:rPr>
                <w:rFonts w:hint="default" w:ascii="Times New Roman" w:hAnsi="Times New Roman" w:eastAsia="宋体" w:cs="Times New Roman"/>
                <w:kern w:val="0"/>
                <w:sz w:val="21"/>
                <w:szCs w:val="21"/>
                <w:highlight w:val="none"/>
              </w:rPr>
              <w:t>。</w:t>
            </w:r>
          </w:p>
        </w:tc>
      </w:tr>
      <w:tr w14:paraId="7502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63" w:type="dxa"/>
            <w:vAlign w:val="center"/>
          </w:tcPr>
          <w:p w14:paraId="1CCF4EEA">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33</w:t>
            </w:r>
          </w:p>
        </w:tc>
        <w:tc>
          <w:tcPr>
            <w:tcW w:w="1962" w:type="dxa"/>
            <w:vAlign w:val="center"/>
          </w:tcPr>
          <w:p w14:paraId="34DD4E4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比选申请文件</w:t>
            </w:r>
          </w:p>
          <w:p w14:paraId="77BF52C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递交地点</w:t>
            </w:r>
          </w:p>
        </w:tc>
        <w:tc>
          <w:tcPr>
            <w:tcW w:w="6895" w:type="dxa"/>
            <w:vAlign w:val="center"/>
          </w:tcPr>
          <w:p w14:paraId="55908637">
            <w:pPr>
              <w:spacing w:line="360" w:lineRule="auto"/>
              <w:ind w:left="16" w:leftChars="8"/>
              <w:jc w:val="left"/>
              <w:rPr>
                <w:rFonts w:hint="default" w:ascii="Times New Roman" w:hAnsi="Times New Roman" w:eastAsia="宋体" w:cs="Times New Roman"/>
                <w:kern w:val="0"/>
                <w:sz w:val="21"/>
                <w:szCs w:val="21"/>
                <w:highlight w:val="none"/>
              </w:rPr>
            </w:pPr>
            <w:r>
              <w:rPr>
                <w:rFonts w:ascii="Times New Roman" w:hAnsi="Times New Roman" w:cs="Times New Roman"/>
                <w:color w:val="000000"/>
                <w:szCs w:val="21"/>
                <w:highlight w:val="none"/>
              </w:rPr>
              <w:t>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5609B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Align w:val="center"/>
          </w:tcPr>
          <w:p w14:paraId="1376DCA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34</w:t>
            </w:r>
          </w:p>
        </w:tc>
        <w:tc>
          <w:tcPr>
            <w:tcW w:w="1962" w:type="dxa"/>
            <w:vAlign w:val="center"/>
          </w:tcPr>
          <w:p w14:paraId="1EEE4B3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是否退还比选</w:t>
            </w:r>
          </w:p>
          <w:p w14:paraId="555E0C6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申请文件</w:t>
            </w:r>
          </w:p>
        </w:tc>
        <w:tc>
          <w:tcPr>
            <w:tcW w:w="6895" w:type="dxa"/>
            <w:vAlign w:val="center"/>
          </w:tcPr>
          <w:p w14:paraId="3211FEEB">
            <w:pPr>
              <w:spacing w:line="360" w:lineRule="auto"/>
              <w:ind w:left="16" w:leftChars="8"/>
              <w:jc w:val="left"/>
              <w:rPr>
                <w:rFonts w:hint="eastAsia" w:ascii="Times New Roman" w:hAnsi="Times New Roman" w:eastAsia="宋体" w:cs="Times New Roman"/>
                <w:kern w:val="0"/>
                <w:sz w:val="21"/>
                <w:szCs w:val="21"/>
                <w:highlight w:val="none"/>
                <w:lang w:val="en-US" w:eastAsia="zh-CN"/>
              </w:rPr>
            </w:pPr>
            <w:r>
              <w:rPr>
                <w:rFonts w:hint="eastAsia" w:ascii="Times New Roman" w:hAnsi="Times New Roman" w:cs="Times New Roman"/>
                <w:kern w:val="0"/>
                <w:sz w:val="21"/>
                <w:szCs w:val="21"/>
                <w:highlight w:val="none"/>
                <w:lang w:val="en-US" w:eastAsia="zh-CN"/>
              </w:rPr>
              <w:t>否</w:t>
            </w:r>
          </w:p>
        </w:tc>
      </w:tr>
      <w:tr w14:paraId="2BCF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restart"/>
            <w:vAlign w:val="center"/>
          </w:tcPr>
          <w:p w14:paraId="02545BF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5</w:t>
            </w:r>
          </w:p>
          <w:p w14:paraId="0DF3ADF2">
            <w:pPr>
              <w:spacing w:line="360" w:lineRule="auto"/>
              <w:jc w:val="center"/>
              <w:rPr>
                <w:rFonts w:ascii="Times New Roman" w:hAnsi="Times New Roman" w:cs="Times New Roman"/>
                <w:color w:val="000000"/>
                <w:szCs w:val="21"/>
                <w:highlight w:val="none"/>
              </w:rPr>
            </w:pPr>
          </w:p>
        </w:tc>
        <w:tc>
          <w:tcPr>
            <w:tcW w:w="1962" w:type="dxa"/>
            <w:vMerge w:val="restart"/>
            <w:vAlign w:val="center"/>
          </w:tcPr>
          <w:p w14:paraId="4695BC6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开标时间和地点</w:t>
            </w:r>
          </w:p>
          <w:p w14:paraId="02C3AB21">
            <w:pPr>
              <w:spacing w:line="360" w:lineRule="auto"/>
              <w:jc w:val="center"/>
              <w:rPr>
                <w:rFonts w:ascii="Times New Roman" w:hAnsi="Times New Roman" w:cs="Times New Roman"/>
                <w:color w:val="000000"/>
                <w:szCs w:val="21"/>
                <w:highlight w:val="none"/>
              </w:rPr>
            </w:pPr>
          </w:p>
        </w:tc>
        <w:tc>
          <w:tcPr>
            <w:tcW w:w="6895" w:type="dxa"/>
            <w:vAlign w:val="center"/>
          </w:tcPr>
          <w:p w14:paraId="059A664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开标时间：同比选申请文件递交截止时间；</w:t>
            </w:r>
          </w:p>
        </w:tc>
      </w:tr>
      <w:tr w14:paraId="0267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63" w:type="dxa"/>
            <w:vMerge w:val="continue"/>
            <w:vAlign w:val="center"/>
          </w:tcPr>
          <w:p w14:paraId="56A9DF12">
            <w:pPr>
              <w:spacing w:line="360" w:lineRule="auto"/>
              <w:jc w:val="center"/>
              <w:rPr>
                <w:rFonts w:ascii="Times New Roman" w:hAnsi="Times New Roman" w:cs="Times New Roman"/>
                <w:color w:val="000000"/>
                <w:szCs w:val="21"/>
                <w:highlight w:val="none"/>
              </w:rPr>
            </w:pPr>
          </w:p>
        </w:tc>
        <w:tc>
          <w:tcPr>
            <w:tcW w:w="1962" w:type="dxa"/>
            <w:vMerge w:val="continue"/>
            <w:vAlign w:val="center"/>
          </w:tcPr>
          <w:p w14:paraId="1BF27B82">
            <w:pPr>
              <w:spacing w:line="360" w:lineRule="auto"/>
              <w:jc w:val="center"/>
              <w:rPr>
                <w:rFonts w:ascii="Times New Roman" w:hAnsi="Times New Roman" w:cs="Times New Roman"/>
                <w:color w:val="000000"/>
                <w:szCs w:val="21"/>
                <w:highlight w:val="none"/>
              </w:rPr>
            </w:pPr>
          </w:p>
        </w:tc>
        <w:tc>
          <w:tcPr>
            <w:tcW w:w="6895" w:type="dxa"/>
            <w:vAlign w:val="center"/>
          </w:tcPr>
          <w:p w14:paraId="7F985B77">
            <w:pPr>
              <w:spacing w:line="360" w:lineRule="auto"/>
              <w:jc w:val="left"/>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开标地点：成都市武侯区创业路1号剑恒发展中心</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楼四川蜀道新能源科技发展有限公司会议室。</w:t>
            </w:r>
          </w:p>
        </w:tc>
      </w:tr>
      <w:tr w14:paraId="3246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63" w:type="dxa"/>
            <w:vAlign w:val="center"/>
          </w:tcPr>
          <w:p w14:paraId="2924ED9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36</w:t>
            </w:r>
          </w:p>
        </w:tc>
        <w:tc>
          <w:tcPr>
            <w:tcW w:w="1962" w:type="dxa"/>
            <w:vAlign w:val="center"/>
          </w:tcPr>
          <w:p w14:paraId="12738A12">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bCs/>
                <w:color w:val="000000"/>
                <w:szCs w:val="21"/>
                <w:highlight w:val="none"/>
              </w:rPr>
              <w:t>开标</w:t>
            </w:r>
            <w:r>
              <w:rPr>
                <w:rFonts w:ascii="Times New Roman" w:hAnsi="Times New Roman" w:cs="Times New Roman"/>
                <w:bCs/>
                <w:color w:val="000000"/>
                <w:szCs w:val="21"/>
                <w:highlight w:val="none"/>
              </w:rPr>
              <w:t>程序</w:t>
            </w:r>
          </w:p>
        </w:tc>
        <w:tc>
          <w:tcPr>
            <w:tcW w:w="6895" w:type="dxa"/>
            <w:vAlign w:val="center"/>
          </w:tcPr>
          <w:p w14:paraId="067C9838">
            <w:pPr>
              <w:pStyle w:val="8"/>
              <w:spacing w:after="0" w:line="360" w:lineRule="auto"/>
              <w:ind w:right="149" w:rightChars="71"/>
              <w:rPr>
                <w:color w:val="000000"/>
                <w:szCs w:val="21"/>
                <w:highlight w:val="none"/>
              </w:rPr>
            </w:pPr>
            <w:r>
              <w:rPr>
                <w:rFonts w:hint="eastAsia" w:ascii="Times New Roman" w:hAnsi="Times New Roman" w:cs="Times New Roman"/>
                <w:kern w:val="0"/>
                <w:szCs w:val="21"/>
                <w:highlight w:val="none"/>
              </w:rPr>
              <w:t>开标</w:t>
            </w:r>
            <w:r>
              <w:rPr>
                <w:rFonts w:ascii="Times New Roman" w:hAnsi="Times New Roman" w:cs="Times New Roman"/>
                <w:kern w:val="0"/>
                <w:szCs w:val="21"/>
                <w:highlight w:val="none"/>
              </w:rPr>
              <w:t>顺序：不分递交先后顺序随机开启</w:t>
            </w:r>
          </w:p>
        </w:tc>
      </w:tr>
      <w:tr w14:paraId="1F4B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77E605B2">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37</w:t>
            </w:r>
          </w:p>
        </w:tc>
        <w:tc>
          <w:tcPr>
            <w:tcW w:w="1962" w:type="dxa"/>
            <w:vAlign w:val="center"/>
          </w:tcPr>
          <w:p w14:paraId="19D6E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委员会的组建</w:t>
            </w:r>
          </w:p>
        </w:tc>
        <w:tc>
          <w:tcPr>
            <w:tcW w:w="6895" w:type="dxa"/>
            <w:vAlign w:val="center"/>
          </w:tcPr>
          <w:p w14:paraId="75D86E15">
            <w:pPr>
              <w:spacing w:line="360" w:lineRule="auto"/>
              <w:rPr>
                <w:rFonts w:ascii="Times New Roman" w:hAnsi="Times New Roman" w:cs="Times New Roman"/>
                <w:color w:val="000000"/>
                <w:szCs w:val="21"/>
                <w:highlight w:val="none"/>
                <w:u w:val="single"/>
              </w:rPr>
            </w:pPr>
            <w:r>
              <w:rPr>
                <w:rFonts w:hint="eastAsia" w:ascii="宋体" w:hAnsi="Times New Roman" w:eastAsia="宋体" w:cs="Times New Roman"/>
                <w:kern w:val="0"/>
                <w:sz w:val="21"/>
                <w:szCs w:val="21"/>
                <w:highlight w:val="none"/>
                <w:lang w:eastAsia="zh-CN"/>
              </w:rPr>
              <w:t>由</w:t>
            </w:r>
            <w:r>
              <w:rPr>
                <w:rFonts w:hint="eastAsia" w:ascii="宋体" w:hAnsi="Times New Roman" w:eastAsia="宋体" w:cs="Times New Roman"/>
                <w:kern w:val="0"/>
                <w:sz w:val="21"/>
                <w:szCs w:val="21"/>
                <w:highlight w:val="none"/>
                <w:lang w:val="en-US" w:eastAsia="zh-CN"/>
              </w:rPr>
              <w:t>比选</w:t>
            </w:r>
            <w:r>
              <w:rPr>
                <w:rFonts w:hint="eastAsia" w:ascii="宋体" w:hAnsi="Times New Roman" w:eastAsia="宋体" w:cs="Times New Roman"/>
                <w:kern w:val="0"/>
                <w:sz w:val="21"/>
                <w:szCs w:val="21"/>
                <w:highlight w:val="none"/>
                <w:lang w:eastAsia="zh-CN"/>
              </w:rPr>
              <w:t>人按相关规定组建</w:t>
            </w:r>
            <w:r>
              <w:rPr>
                <w:rFonts w:hint="eastAsia" w:ascii="宋体" w:hAnsi="Times New Roman" w:eastAsia="宋体" w:cs="Times New Roman"/>
                <w:kern w:val="0"/>
                <w:sz w:val="21"/>
                <w:szCs w:val="21"/>
                <w:highlight w:val="none"/>
              </w:rPr>
              <w:t>。</w:t>
            </w:r>
          </w:p>
        </w:tc>
      </w:tr>
      <w:tr w14:paraId="5D8D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0F4779C5">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rPr>
              <w:t>8</w:t>
            </w:r>
          </w:p>
        </w:tc>
        <w:tc>
          <w:tcPr>
            <w:tcW w:w="1962" w:type="dxa"/>
            <w:vAlign w:val="center"/>
          </w:tcPr>
          <w:p w14:paraId="1F06FA14">
            <w:pPr>
              <w:spacing w:line="360" w:lineRule="auto"/>
              <w:jc w:val="cente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w:t>
            </w:r>
          </w:p>
        </w:tc>
        <w:tc>
          <w:tcPr>
            <w:tcW w:w="6895" w:type="dxa"/>
            <w:vAlign w:val="center"/>
          </w:tcPr>
          <w:p w14:paraId="586BF66B">
            <w:pPr>
              <w:pStyle w:val="8"/>
              <w:spacing w:after="0" w:line="360" w:lineRule="auto"/>
              <w:ind w:right="149" w:rightChars="71"/>
              <w:rPr>
                <w:rFonts w:ascii="Times New Roman" w:hAnsi="Times New Roman" w:eastAsia="宋体" w:cs="Times New Roman"/>
                <w:color w:val="000000"/>
                <w:kern w:val="2"/>
                <w:sz w:val="21"/>
                <w:szCs w:val="21"/>
                <w:highlight w:val="none"/>
                <w:lang w:val="en-US" w:eastAsia="zh-CN" w:bidi="ar-SA"/>
              </w:rPr>
            </w:pPr>
            <w:r>
              <w:rPr>
                <w:color w:val="000000"/>
                <w:szCs w:val="21"/>
                <w:highlight w:val="none"/>
              </w:rPr>
              <w:t>综合评分法（</w:t>
            </w:r>
            <w:r>
              <w:rPr>
                <w:szCs w:val="21"/>
                <w:highlight w:val="none"/>
              </w:rPr>
              <w:t>单信封）。具体见“第三章 评</w:t>
            </w:r>
            <w:r>
              <w:rPr>
                <w:rFonts w:hint="eastAsia"/>
                <w:szCs w:val="21"/>
                <w:highlight w:val="none"/>
                <w:lang w:val="en-US" w:eastAsia="zh-CN"/>
              </w:rPr>
              <w:t>审</w:t>
            </w:r>
            <w:r>
              <w:rPr>
                <w:szCs w:val="21"/>
                <w:highlight w:val="none"/>
              </w:rPr>
              <w:t>办法”。</w:t>
            </w:r>
          </w:p>
        </w:tc>
      </w:tr>
      <w:tr w14:paraId="56BC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63" w:type="dxa"/>
            <w:vAlign w:val="center"/>
          </w:tcPr>
          <w:p w14:paraId="157A49A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39</w:t>
            </w:r>
          </w:p>
        </w:tc>
        <w:tc>
          <w:tcPr>
            <w:tcW w:w="1962" w:type="dxa"/>
            <w:vAlign w:val="center"/>
          </w:tcPr>
          <w:p w14:paraId="322EBB7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是否授权评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w:t>
            </w:r>
          </w:p>
        </w:tc>
        <w:tc>
          <w:tcPr>
            <w:tcW w:w="6895" w:type="dxa"/>
            <w:vAlign w:val="center"/>
          </w:tcPr>
          <w:p w14:paraId="6AEF901F">
            <w:pPr>
              <w:spacing w:line="360" w:lineRule="auto"/>
              <w:rPr>
                <w:rFonts w:ascii="Times New Roman" w:hAnsi="Times New Roman" w:cs="Times New Roman"/>
                <w:color w:val="auto"/>
                <w:szCs w:val="21"/>
                <w:highlight w:val="none"/>
              </w:rPr>
            </w:pPr>
            <w:r>
              <w:rPr>
                <w:rFonts w:ascii="Times New Roman" w:hAnsi="Times New Roman" w:cs="Times New Roman"/>
                <w:color w:val="auto"/>
                <w:szCs w:val="21"/>
                <w:highlight w:val="none"/>
                <w:u w:val="single"/>
              </w:rPr>
              <w:t>否</w:t>
            </w:r>
            <w:r>
              <w:rPr>
                <w:rFonts w:hint="eastAsia" w:ascii="Times New Roman" w:hAnsi="Times New Roman" w:cs="Times New Roman"/>
                <w:color w:val="auto"/>
                <w:szCs w:val="21"/>
                <w:highlight w:val="none"/>
                <w:u w:val="single"/>
                <w:lang w:eastAsia="zh-CN"/>
              </w:rPr>
              <w:t>，</w:t>
            </w:r>
            <w:r>
              <w:rPr>
                <w:rFonts w:ascii="Times New Roman" w:hAnsi="Times New Roman" w:cs="Times New Roman"/>
                <w:color w:val="auto"/>
                <w:szCs w:val="21"/>
                <w:highlight w:val="none"/>
              </w:rPr>
              <w:t>由评</w:t>
            </w:r>
            <w:r>
              <w:rPr>
                <w:rFonts w:hint="default" w:ascii="Times New Roman" w:hAnsi="Times New Roman" w:eastAsia="宋体" w:cs="Times New Roman"/>
                <w:color w:val="auto"/>
                <w:szCs w:val="21"/>
                <w:highlight w:val="none"/>
                <w:lang w:val="en-US" w:eastAsia="zh-CN"/>
              </w:rPr>
              <w:t>审</w:t>
            </w:r>
            <w:r>
              <w:rPr>
                <w:rFonts w:ascii="Times New Roman" w:hAnsi="Times New Roman" w:eastAsia="宋体" w:cs="Times New Roman"/>
                <w:color w:val="auto"/>
                <w:szCs w:val="21"/>
                <w:highlight w:val="none"/>
              </w:rPr>
              <w:t>委员会推荐</w:t>
            </w:r>
            <w:r>
              <w:rPr>
                <w:rFonts w:ascii="Times New Roman" w:hAnsi="Times New Roman" w:eastAsia="宋体" w:cs="Times New Roman"/>
                <w:color w:val="auto"/>
                <w:szCs w:val="21"/>
                <w:highlight w:val="none"/>
                <w:u w:val="none"/>
              </w:rPr>
              <w:t>1～3</w:t>
            </w:r>
            <w:r>
              <w:rPr>
                <w:rFonts w:ascii="Times New Roman" w:hAnsi="Times New Roman" w:eastAsia="宋体" w:cs="Times New Roman"/>
                <w:color w:val="auto"/>
                <w:szCs w:val="21"/>
                <w:highlight w:val="none"/>
              </w:rPr>
              <w:t>名</w:t>
            </w:r>
            <w:r>
              <w:rPr>
                <w:rFonts w:hint="default" w:ascii="Times New Roman" w:hAnsi="Times New Roman" w:eastAsia="宋体" w:cs="Times New Roman"/>
                <w:color w:val="auto"/>
                <w:szCs w:val="21"/>
                <w:highlight w:val="none"/>
              </w:rPr>
              <w:t>中选</w:t>
            </w:r>
            <w:r>
              <w:rPr>
                <w:rFonts w:ascii="Times New Roman" w:hAnsi="Times New Roman" w:eastAsia="宋体" w:cs="Times New Roman"/>
                <w:color w:val="auto"/>
                <w:szCs w:val="21"/>
                <w:highlight w:val="none"/>
              </w:rPr>
              <w:t>候选人</w:t>
            </w:r>
            <w:r>
              <w:rPr>
                <w:rFonts w:hint="default" w:ascii="Times New Roman" w:hAnsi="Times New Roman" w:eastAsia="宋体" w:cs="Times New Roman"/>
                <w:color w:val="auto"/>
                <w:sz w:val="21"/>
                <w:szCs w:val="21"/>
                <w:highlight w:val="none"/>
              </w:rPr>
              <w:t>（若不足</w:t>
            </w:r>
            <w:r>
              <w:rPr>
                <w:rFonts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rPr>
              <w:t>名时按实际数量推荐）</w:t>
            </w:r>
            <w:r>
              <w:rPr>
                <w:rFonts w:hint="default" w:ascii="Times New Roman" w:hAnsi="Times New Roman" w:eastAsia="宋体" w:cs="Times New Roman"/>
                <w:color w:val="auto"/>
                <w:sz w:val="21"/>
                <w:szCs w:val="21"/>
                <w:highlight w:val="none"/>
                <w:lang w:eastAsia="zh-CN"/>
              </w:rPr>
              <w:t>，综合评分相等时，以报价低的优先；报价也相等的，</w:t>
            </w:r>
            <w:r>
              <w:rPr>
                <w:rFonts w:hint="eastAsia" w:ascii="Times New Roman" w:hAnsi="Times New Roman" w:eastAsia="宋体" w:cs="Times New Roman"/>
                <w:color w:val="auto"/>
                <w:sz w:val="21"/>
                <w:szCs w:val="21"/>
                <w:highlight w:val="none"/>
                <w:lang w:val="en-US" w:eastAsia="zh-CN"/>
              </w:rPr>
              <w:t>以</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w:t>
            </w:r>
            <w:r>
              <w:rPr>
                <w:rFonts w:hint="default" w:ascii="Times New Roman" w:hAnsi="Times New Roman" w:eastAsia="宋体" w:cs="Times New Roman"/>
                <w:color w:val="auto"/>
                <w:sz w:val="21"/>
                <w:szCs w:val="21"/>
                <w:highlight w:val="none"/>
                <w:lang w:eastAsia="zh-CN"/>
              </w:rPr>
              <w:t>。</w:t>
            </w:r>
          </w:p>
        </w:tc>
      </w:tr>
      <w:tr w14:paraId="36C0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63" w:type="dxa"/>
            <w:vAlign w:val="center"/>
          </w:tcPr>
          <w:p w14:paraId="38AA15AC">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40</w:t>
            </w:r>
          </w:p>
        </w:tc>
        <w:tc>
          <w:tcPr>
            <w:tcW w:w="1962" w:type="dxa"/>
            <w:vAlign w:val="center"/>
          </w:tcPr>
          <w:p w14:paraId="59F61BD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履约担保</w:t>
            </w:r>
          </w:p>
        </w:tc>
        <w:tc>
          <w:tcPr>
            <w:tcW w:w="6895" w:type="dxa"/>
            <w:vAlign w:val="center"/>
          </w:tcPr>
          <w:p w14:paraId="650299E5">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1、履约担保为</w:t>
            </w:r>
            <w:r>
              <w:rPr>
                <w:rFonts w:hint="eastAsia" w:ascii="Times New Roman" w:hAnsi="Times New Roman" w:cs="Times New Roman"/>
                <w:color w:val="auto"/>
                <w:szCs w:val="21"/>
                <w:highlight w:val="none"/>
              </w:rPr>
              <w:t>：</w:t>
            </w:r>
            <w:r>
              <w:rPr>
                <w:rFonts w:hint="eastAsia" w:ascii="Times New Roman" w:hAnsi="Times New Roman" w:cs="Times New Roman"/>
                <w:color w:val="auto"/>
                <w:szCs w:val="21"/>
                <w:highlight w:val="none"/>
                <w:lang w:val="en-US" w:eastAsia="zh-CN"/>
              </w:rPr>
              <w:t>15万</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lang w:val="en-US" w:eastAsia="zh-CN"/>
              </w:rPr>
              <w:t>整</w:t>
            </w:r>
            <w:r>
              <w:rPr>
                <w:rFonts w:ascii="Times New Roman" w:hAnsi="Times New Roman" w:cs="Times New Roman"/>
                <w:color w:val="auto"/>
                <w:szCs w:val="21"/>
                <w:highlight w:val="none"/>
              </w:rPr>
              <w:t>（大写：</w:t>
            </w:r>
            <w:r>
              <w:rPr>
                <w:rFonts w:hint="eastAsia" w:ascii="Times New Roman" w:hAnsi="Times New Roman" w:cs="Times New Roman"/>
                <w:color w:val="auto"/>
                <w:szCs w:val="21"/>
                <w:highlight w:val="none"/>
                <w:lang w:val="en-US" w:eastAsia="zh-CN"/>
              </w:rPr>
              <w:t>壹拾伍万元整</w:t>
            </w:r>
            <w:r>
              <w:rPr>
                <w:rFonts w:ascii="Times New Roman" w:hAnsi="Times New Roman" w:cs="Times New Roman"/>
                <w:color w:val="auto"/>
                <w:szCs w:val="21"/>
                <w:highlight w:val="none"/>
              </w:rPr>
              <w:t>），</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应向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缴纳现金（支票）担保或由具有国有背景的银行开具的履约保函。 </w:t>
            </w:r>
          </w:p>
          <w:p w14:paraId="3134B71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2、提交履约担保的时间：</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在收到</w:t>
            </w:r>
            <w:r>
              <w:rPr>
                <w:rFonts w:hint="eastAsia" w:ascii="Times New Roman" w:hAnsi="Times New Roman" w:cs="Times New Roman"/>
                <w:color w:val="auto"/>
                <w:szCs w:val="21"/>
                <w:highlight w:val="none"/>
                <w:lang w:eastAsia="zh-CN"/>
              </w:rPr>
              <w:t>中选</w:t>
            </w:r>
            <w:r>
              <w:rPr>
                <w:rFonts w:ascii="Times New Roman" w:hAnsi="Times New Roman" w:cs="Times New Roman"/>
                <w:color w:val="auto"/>
                <w:szCs w:val="21"/>
                <w:highlight w:val="none"/>
              </w:rPr>
              <w:t>通知书后</w:t>
            </w:r>
            <w:r>
              <w:rPr>
                <w:rFonts w:hint="eastAsia" w:ascii="Times New Roman" w:hAnsi="Times New Roman" w:cs="Times New Roman"/>
                <w:color w:val="auto"/>
                <w:szCs w:val="21"/>
                <w:highlight w:val="none"/>
              </w:rPr>
              <w:t>30</w:t>
            </w:r>
            <w:r>
              <w:rPr>
                <w:rFonts w:ascii="Times New Roman" w:hAnsi="Times New Roman" w:cs="Times New Roman"/>
                <w:color w:val="auto"/>
                <w:szCs w:val="21"/>
                <w:highlight w:val="none"/>
              </w:rPr>
              <w:t xml:space="preserve">天内，并在签 </w:t>
            </w:r>
          </w:p>
          <w:p w14:paraId="52358F67">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订合同协议书之前。 </w:t>
            </w:r>
          </w:p>
          <w:p w14:paraId="7045C1DC">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 xml:space="preserve">3、履约保证金指定账户： </w:t>
            </w:r>
          </w:p>
          <w:p w14:paraId="02F09540">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开户名：四川蜀道新能源科技发展有限公司 </w:t>
            </w:r>
          </w:p>
          <w:p w14:paraId="1A2AF8CE">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开户行：中国建设银行成都第三支行 </w:t>
            </w:r>
          </w:p>
          <w:p w14:paraId="4C01DAEF">
            <w:pPr>
              <w:widowControl/>
              <w:jc w:val="left"/>
              <w:rPr>
                <w:rFonts w:ascii="Times New Roman" w:cs="Times New Roman"/>
                <w:color w:val="auto"/>
                <w:szCs w:val="21"/>
                <w:highlight w:val="none"/>
              </w:rPr>
            </w:pPr>
            <w:r>
              <w:rPr>
                <w:rFonts w:ascii="Times New Roman" w:hAnsi="Times New Roman" w:cs="Times New Roman"/>
                <w:color w:val="auto"/>
                <w:szCs w:val="21"/>
                <w:highlight w:val="none"/>
              </w:rPr>
              <w:t xml:space="preserve">账 </w:t>
            </w:r>
            <w:r>
              <w:rPr>
                <w:rFonts w:hint="eastAsia" w:ascii="Times New Roman" w:hAnsi="Times New Roman" w:cs="Times New Roman"/>
                <w:color w:val="auto"/>
                <w:szCs w:val="21"/>
                <w:highlight w:val="none"/>
              </w:rPr>
              <w:t xml:space="preserve"> </w:t>
            </w:r>
            <w:r>
              <w:rPr>
                <w:rFonts w:ascii="Times New Roman" w:hAnsi="Times New Roman" w:cs="Times New Roman"/>
                <w:color w:val="auto"/>
                <w:szCs w:val="21"/>
                <w:highlight w:val="none"/>
              </w:rPr>
              <w:t xml:space="preserve">号：5105 0143 6308 0000 4340 </w:t>
            </w:r>
          </w:p>
          <w:p w14:paraId="7762275A">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4、保函续期：履约保函到期前，</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必须及时向</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提交续期的履 </w:t>
            </w:r>
          </w:p>
          <w:p w14:paraId="133CC569">
            <w:pPr>
              <w:widowControl/>
              <w:spacing w:line="360" w:lineRule="auto"/>
              <w:jc w:val="left"/>
              <w:rPr>
                <w:rFonts w:ascii="Times New Roman" w:cs="Times New Roman"/>
                <w:color w:val="auto"/>
                <w:szCs w:val="21"/>
                <w:highlight w:val="none"/>
              </w:rPr>
            </w:pPr>
            <w:r>
              <w:rPr>
                <w:rFonts w:ascii="Times New Roman" w:hAnsi="Times New Roman" w:cs="Times New Roman"/>
                <w:color w:val="auto"/>
                <w:szCs w:val="21"/>
                <w:highlight w:val="none"/>
              </w:rPr>
              <w:t>约保函，由于履约保函到期造成</w:t>
            </w:r>
            <w:r>
              <w:rPr>
                <w:rFonts w:hint="eastAsia" w:ascii="Times New Roman" w:hAnsi="Times New Roman" w:cs="Times New Roman"/>
                <w:color w:val="auto"/>
                <w:szCs w:val="21"/>
                <w:highlight w:val="none"/>
              </w:rPr>
              <w:t>比选人</w:t>
            </w:r>
            <w:r>
              <w:rPr>
                <w:rFonts w:ascii="Times New Roman" w:hAnsi="Times New Roman" w:cs="Times New Roman"/>
                <w:color w:val="auto"/>
                <w:szCs w:val="21"/>
                <w:highlight w:val="none"/>
              </w:rPr>
              <w:t xml:space="preserve">合法利益受到损失，一切责任和费 </w:t>
            </w:r>
          </w:p>
          <w:p w14:paraId="0DE8541C">
            <w:pPr>
              <w:spacing w:line="360" w:lineRule="auto"/>
              <w:rPr>
                <w:rFonts w:ascii="Times New Roman" w:hAnsi="Times New Roman" w:cs="Times New Roman"/>
                <w:color w:val="auto"/>
                <w:szCs w:val="21"/>
                <w:highlight w:val="none"/>
                <w:lang w:val="zh-CN"/>
              </w:rPr>
            </w:pPr>
            <w:r>
              <w:rPr>
                <w:rFonts w:ascii="Times New Roman" w:hAnsi="Times New Roman" w:cs="Times New Roman"/>
                <w:color w:val="auto"/>
                <w:szCs w:val="21"/>
                <w:highlight w:val="none"/>
              </w:rPr>
              <w:t>用由</w:t>
            </w:r>
            <w:r>
              <w:rPr>
                <w:rFonts w:hint="eastAsia" w:ascii="Times New Roman" w:hAnsi="Times New Roman" w:cs="Times New Roman"/>
                <w:color w:val="auto"/>
                <w:szCs w:val="21"/>
                <w:highlight w:val="none"/>
              </w:rPr>
              <w:t>中选人</w:t>
            </w:r>
            <w:r>
              <w:rPr>
                <w:rFonts w:ascii="Times New Roman" w:hAnsi="Times New Roman" w:cs="Times New Roman"/>
                <w:color w:val="auto"/>
                <w:szCs w:val="21"/>
                <w:highlight w:val="none"/>
              </w:rPr>
              <w:t>承担</w:t>
            </w:r>
            <w:r>
              <w:rPr>
                <w:rFonts w:hint="eastAsia" w:ascii="Times New Roman" w:hAnsi="Times New Roman" w:cs="Times New Roman"/>
                <w:color w:val="auto"/>
                <w:szCs w:val="21"/>
                <w:highlight w:val="none"/>
              </w:rPr>
              <w:t>。</w:t>
            </w:r>
          </w:p>
        </w:tc>
      </w:tr>
      <w:tr w14:paraId="2875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63" w:type="dxa"/>
            <w:vAlign w:val="center"/>
          </w:tcPr>
          <w:p w14:paraId="4A525B39">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41</w:t>
            </w:r>
          </w:p>
        </w:tc>
        <w:tc>
          <w:tcPr>
            <w:tcW w:w="1962" w:type="dxa"/>
            <w:vAlign w:val="center"/>
          </w:tcPr>
          <w:p w14:paraId="4E84EB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签订合同</w:t>
            </w:r>
          </w:p>
        </w:tc>
        <w:tc>
          <w:tcPr>
            <w:tcW w:w="6895" w:type="dxa"/>
            <w:vAlign w:val="center"/>
          </w:tcPr>
          <w:p w14:paraId="07F163BD">
            <w:pPr>
              <w:spacing w:line="360" w:lineRule="auto"/>
              <w:rPr>
                <w:rFonts w:ascii="Times New Roman" w:hAnsi="Times New Roman" w:cs="Times New Roman"/>
                <w:szCs w:val="21"/>
                <w:highlight w:val="none"/>
              </w:rPr>
            </w:pPr>
            <w:r>
              <w:rPr>
                <w:rFonts w:ascii="Times New Roman" w:hAnsi="Times New Roman" w:cs="Times New Roman"/>
                <w:szCs w:val="21"/>
                <w:highlight w:val="none"/>
              </w:rPr>
              <w:t>1、</w:t>
            </w: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w:t>
            </w:r>
            <w:r>
              <w:rPr>
                <w:rFonts w:ascii="Times New Roman" w:hAnsi="Times New Roman" w:cs="Times New Roman"/>
                <w:szCs w:val="21"/>
                <w:highlight w:val="none"/>
                <w:u w:val="single"/>
              </w:rPr>
              <w:t>30</w:t>
            </w:r>
            <w:r>
              <w:rPr>
                <w:rFonts w:ascii="Times New Roman" w:hAnsi="Times New Roman" w:cs="Times New Roman"/>
                <w:szCs w:val="21"/>
                <w:highlight w:val="none"/>
              </w:rPr>
              <w:t>日内，与</w:t>
            </w:r>
            <w:r>
              <w:rPr>
                <w:rFonts w:hint="eastAsia" w:ascii="Times New Roman" w:hAnsi="Times New Roman" w:cs="Times New Roman"/>
                <w:szCs w:val="21"/>
                <w:highlight w:val="none"/>
              </w:rPr>
              <w:t>比选人</w:t>
            </w:r>
            <w:r>
              <w:rPr>
                <w:rFonts w:ascii="Times New Roman" w:hAnsi="Times New Roman" w:cs="Times New Roman"/>
                <w:szCs w:val="21"/>
                <w:highlight w:val="none"/>
              </w:rPr>
              <w:t>订立书面合同。</w:t>
            </w:r>
          </w:p>
          <w:p w14:paraId="393FEF69">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2、</w:t>
            </w:r>
            <w:r>
              <w:rPr>
                <w:rFonts w:hint="eastAsia" w:ascii="Times New Roman" w:hAnsi="Times New Roman" w:cs="Times New Roman"/>
                <w:szCs w:val="21"/>
                <w:highlight w:val="none"/>
              </w:rPr>
              <w:t>中选</w:t>
            </w:r>
            <w:r>
              <w:rPr>
                <w:rFonts w:ascii="Times New Roman" w:hAnsi="Times New Roman" w:cs="Times New Roman"/>
                <w:szCs w:val="21"/>
                <w:highlight w:val="none"/>
              </w:rPr>
              <w:t>人无正当理由拒签合同的，或在签订合同时向</w:t>
            </w:r>
            <w:r>
              <w:rPr>
                <w:rFonts w:hint="eastAsia" w:ascii="Times New Roman" w:hAnsi="Times New Roman" w:cs="Times New Roman"/>
                <w:szCs w:val="21"/>
                <w:highlight w:val="none"/>
              </w:rPr>
              <w:t>比选人</w:t>
            </w:r>
            <w:r>
              <w:rPr>
                <w:rFonts w:ascii="Times New Roman" w:hAnsi="Times New Roman" w:cs="Times New Roman"/>
                <w:szCs w:val="21"/>
                <w:highlight w:val="none"/>
              </w:rPr>
              <w:t>提出附加条件，</w:t>
            </w:r>
            <w:r>
              <w:rPr>
                <w:rFonts w:hint="eastAsia" w:ascii="Times New Roman" w:hAnsi="Times New Roman" w:cs="Times New Roman"/>
                <w:szCs w:val="21"/>
                <w:highlight w:val="none"/>
              </w:rPr>
              <w:t>比选人</w:t>
            </w:r>
            <w:r>
              <w:rPr>
                <w:rFonts w:ascii="Times New Roman" w:hAnsi="Times New Roman" w:cs="Times New Roman"/>
                <w:szCs w:val="21"/>
                <w:highlight w:val="none"/>
              </w:rPr>
              <w:t>有权取消其</w:t>
            </w:r>
            <w:r>
              <w:rPr>
                <w:rFonts w:hint="eastAsia" w:ascii="Times New Roman" w:hAnsi="Times New Roman" w:cs="Times New Roman"/>
                <w:szCs w:val="21"/>
                <w:highlight w:val="none"/>
              </w:rPr>
              <w:t>中选</w:t>
            </w:r>
            <w:r>
              <w:rPr>
                <w:rFonts w:ascii="Times New Roman" w:hAnsi="Times New Roman" w:cs="Times New Roman"/>
                <w:szCs w:val="21"/>
                <w:highlight w:val="none"/>
              </w:rPr>
              <w:t>资格。</w:t>
            </w:r>
          </w:p>
        </w:tc>
      </w:tr>
      <w:tr w14:paraId="194A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63" w:type="dxa"/>
            <w:vAlign w:val="center"/>
          </w:tcPr>
          <w:p w14:paraId="41B48A08">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42</w:t>
            </w:r>
          </w:p>
        </w:tc>
        <w:tc>
          <w:tcPr>
            <w:tcW w:w="1962" w:type="dxa"/>
            <w:vAlign w:val="center"/>
          </w:tcPr>
          <w:p w14:paraId="686F4B7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文件内容冲突的解决及优先适用次序</w:t>
            </w:r>
          </w:p>
        </w:tc>
        <w:tc>
          <w:tcPr>
            <w:tcW w:w="6895" w:type="dxa"/>
            <w:vAlign w:val="center"/>
          </w:tcPr>
          <w:p w14:paraId="3D43907D">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w:t>
            </w:r>
            <w:r>
              <w:rPr>
                <w:rFonts w:ascii="Times New Roman" w:hAnsi="Times New Roman" w:cs="Times New Roman"/>
                <w:szCs w:val="21"/>
                <w:highlight w:val="none"/>
              </w:rPr>
              <w:t>文件中</w:t>
            </w:r>
            <w:r>
              <w:rPr>
                <w:rFonts w:hint="eastAsia" w:ascii="Times New Roman" w:hAnsi="Times New Roman" w:cs="Times New Roman"/>
                <w:szCs w:val="21"/>
                <w:highlight w:val="none"/>
              </w:rPr>
              <w:t>比选人</w:t>
            </w:r>
            <w:r>
              <w:rPr>
                <w:rFonts w:ascii="Times New Roman" w:hAnsi="Times New Roman" w:cs="Times New Roman"/>
                <w:szCs w:val="21"/>
                <w:highlight w:val="none"/>
              </w:rPr>
              <w:t>编制的</w:t>
            </w:r>
            <w:bookmarkStart w:id="5" w:name="_GoBack"/>
            <w:bookmarkEnd w:id="5"/>
            <w:r>
              <w:rPr>
                <w:rFonts w:ascii="Times New Roman" w:hAnsi="Times New Roman" w:cs="Times New Roman"/>
                <w:szCs w:val="21"/>
                <w:highlight w:val="none"/>
              </w:rPr>
              <w:t>内容前后有矛盾或不一致，有时间先后顺序的，以时间在后的修改、澄清或补正文件为准；没有时间先后顺序的，以公平的原则进行处理。</w:t>
            </w:r>
          </w:p>
          <w:p w14:paraId="2AB21C8C">
            <w:pPr>
              <w:numPr>
                <w:ilvl w:val="0"/>
                <w:numId w:val="4"/>
              </w:numPr>
              <w:spacing w:line="360" w:lineRule="auto"/>
              <w:rPr>
                <w:rFonts w:ascii="Times New Roman" w:hAnsi="Times New Roman" w:cs="Times New Roman"/>
                <w:szCs w:val="21"/>
                <w:highlight w:val="none"/>
              </w:rPr>
            </w:pP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文件中“注”的内容与正文不一致时，以</w:t>
            </w:r>
            <w:r>
              <w:rPr>
                <w:rFonts w:hint="eastAsia" w:ascii="Times New Roman" w:hAnsi="Times New Roman" w:cs="Times New Roman"/>
                <w:szCs w:val="21"/>
                <w:highlight w:val="none"/>
              </w:rPr>
              <w:t>比选申请人</w:t>
            </w:r>
            <w:r>
              <w:rPr>
                <w:rFonts w:ascii="Times New Roman" w:hAnsi="Times New Roman" w:cs="Times New Roman"/>
                <w:szCs w:val="21"/>
                <w:highlight w:val="none"/>
              </w:rPr>
              <w:t>须知前附表和</w:t>
            </w:r>
            <w:r>
              <w:rPr>
                <w:rFonts w:hint="eastAsia" w:ascii="Times New Roman" w:hAnsi="Times New Roman" w:cs="Times New Roman"/>
                <w:szCs w:val="21"/>
                <w:highlight w:val="none"/>
              </w:rPr>
              <w:t>比选</w:t>
            </w:r>
            <w:r>
              <w:rPr>
                <w:rFonts w:ascii="Times New Roman" w:hAnsi="Times New Roman" w:cs="Times New Roman"/>
                <w:szCs w:val="21"/>
                <w:highlight w:val="none"/>
              </w:rPr>
              <w:t>文件中“注”的内容为准。</w:t>
            </w:r>
          </w:p>
          <w:p w14:paraId="30CCC7B7">
            <w:pPr>
              <w:spacing w:line="360" w:lineRule="auto"/>
              <w:rPr>
                <w:rFonts w:ascii="Times New Roman" w:hAnsi="Times New Roman" w:cs="Times New Roman"/>
                <w:color w:val="000000"/>
                <w:szCs w:val="21"/>
                <w:highlight w:val="none"/>
              </w:rPr>
            </w:pPr>
            <w:r>
              <w:rPr>
                <w:rFonts w:ascii="Times New Roman" w:hAnsi="Times New Roman" w:cs="Times New Roman"/>
                <w:szCs w:val="21"/>
                <w:highlight w:val="none"/>
              </w:rPr>
              <w:t>3、对</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文件的内容理解有争议的，由</w:t>
            </w:r>
            <w:r>
              <w:rPr>
                <w:rFonts w:hint="eastAsia" w:ascii="Times New Roman" w:hAnsi="Times New Roman" w:cs="Times New Roman"/>
                <w:szCs w:val="21"/>
                <w:highlight w:val="none"/>
              </w:rPr>
              <w:t>比选人</w:t>
            </w:r>
            <w:r>
              <w:rPr>
                <w:rFonts w:ascii="Times New Roman" w:hAnsi="Times New Roman" w:cs="Times New Roman"/>
                <w:szCs w:val="21"/>
                <w:highlight w:val="none"/>
              </w:rPr>
              <w:t>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文件所使用的词句、</w:t>
            </w:r>
            <w:r>
              <w:rPr>
                <w:rFonts w:hint="eastAsia" w:ascii="Times New Roman" w:hAnsi="Times New Roman" w:cs="Times New Roman"/>
                <w:szCs w:val="21"/>
                <w:highlight w:val="none"/>
              </w:rPr>
              <w:t>比选</w:t>
            </w:r>
            <w:r>
              <w:rPr>
                <w:rFonts w:ascii="Times New Roman" w:hAnsi="Times New Roman" w:cs="Times New Roman"/>
                <w:szCs w:val="21"/>
                <w:highlight w:val="none"/>
              </w:rPr>
              <w:t>文件的有关条款、</w:t>
            </w:r>
            <w:r>
              <w:rPr>
                <w:rFonts w:hint="eastAsia" w:ascii="Times New Roman" w:hAnsi="Times New Roman" w:cs="Times New Roman"/>
                <w:szCs w:val="21"/>
                <w:highlight w:val="none"/>
              </w:rPr>
              <w:t>比选</w:t>
            </w:r>
            <w:r>
              <w:rPr>
                <w:rFonts w:ascii="Times New Roman" w:hAnsi="Times New Roman" w:cs="Times New Roman"/>
                <w:szCs w:val="21"/>
                <w:highlight w:val="none"/>
              </w:rPr>
              <w:t>的目的、习惯以及诚实信用原则，确定该条款的真实意思，有两种以上解释的，作出不利于</w:t>
            </w:r>
            <w:r>
              <w:rPr>
                <w:rFonts w:hint="eastAsia" w:ascii="Times New Roman" w:hAnsi="Times New Roman" w:cs="Times New Roman"/>
                <w:szCs w:val="21"/>
                <w:highlight w:val="none"/>
              </w:rPr>
              <w:t>比选申请人</w:t>
            </w:r>
            <w:r>
              <w:rPr>
                <w:rFonts w:ascii="Times New Roman" w:hAnsi="Times New Roman" w:cs="Times New Roman"/>
                <w:szCs w:val="21"/>
                <w:highlight w:val="none"/>
              </w:rPr>
              <w:t>一方的解释。</w:t>
            </w:r>
          </w:p>
        </w:tc>
      </w:tr>
      <w:tr w14:paraId="1D9C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3" w:type="dxa"/>
            <w:vMerge w:val="restart"/>
            <w:vAlign w:val="center"/>
          </w:tcPr>
          <w:p w14:paraId="3A22F8E9">
            <w:pPr>
              <w:spacing w:line="360" w:lineRule="auto"/>
              <w:jc w:val="center"/>
              <w:rPr>
                <w:rFonts w:hint="default" w:ascii="Times New Roman" w:hAnsi="Times New Roman" w:eastAsia="宋体" w:cs="Times New Roman"/>
                <w:b/>
                <w:color w:val="000000"/>
                <w:szCs w:val="21"/>
                <w:highlight w:val="none"/>
                <w:lang w:val="en-US" w:eastAsia="zh-CN"/>
              </w:rPr>
            </w:pPr>
            <w:r>
              <w:rPr>
                <w:rFonts w:hint="eastAsia" w:ascii="Times New Roman" w:hAnsi="Times New Roman" w:cs="Times New Roman"/>
                <w:bCs/>
                <w:color w:val="000000"/>
                <w:szCs w:val="21"/>
                <w:highlight w:val="none"/>
                <w:lang w:val="en-US" w:eastAsia="zh-CN"/>
              </w:rPr>
              <w:t>43</w:t>
            </w:r>
          </w:p>
        </w:tc>
        <w:tc>
          <w:tcPr>
            <w:tcW w:w="1962" w:type="dxa"/>
            <w:vMerge w:val="restart"/>
            <w:vAlign w:val="center"/>
          </w:tcPr>
          <w:p w14:paraId="54AAC4B8">
            <w:pPr>
              <w:pStyle w:val="9"/>
              <w:spacing w:line="360" w:lineRule="auto"/>
              <w:ind w:left="0" w:leftChars="0" w:firstLine="411" w:firstLineChars="196"/>
              <w:rPr>
                <w:b/>
                <w:color w:val="000000"/>
                <w:spacing w:val="-6"/>
                <w:szCs w:val="21"/>
                <w:highlight w:val="none"/>
              </w:rPr>
            </w:pPr>
            <w:r>
              <w:rPr>
                <w:b/>
                <w:color w:val="000000"/>
                <w:szCs w:val="21"/>
                <w:highlight w:val="none"/>
              </w:rPr>
              <w:t>特别注意</w:t>
            </w:r>
          </w:p>
        </w:tc>
        <w:tc>
          <w:tcPr>
            <w:tcW w:w="6895" w:type="dxa"/>
            <w:vAlign w:val="center"/>
          </w:tcPr>
          <w:p w14:paraId="4D99987A">
            <w:pPr>
              <w:spacing w:line="360" w:lineRule="auto"/>
              <w:ind w:right="149" w:rightChars="71"/>
              <w:rPr>
                <w:rFonts w:ascii="Times New Roman" w:hAnsi="Times New Roman" w:cs="Times New Roman"/>
                <w:bCs/>
                <w:color w:val="000000"/>
                <w:szCs w:val="21"/>
                <w:highlight w:val="none"/>
              </w:rPr>
            </w:pPr>
            <w:r>
              <w:rPr>
                <w:rFonts w:ascii="Times New Roman" w:hAnsi="Times New Roman" w:cs="Times New Roman"/>
                <w:bCs/>
                <w:color w:val="000000"/>
                <w:szCs w:val="21"/>
                <w:highlight w:val="none"/>
              </w:rPr>
              <w:t>如本</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须知前附表所述内容与</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须知正文部分所述内容不一致或</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须知正文部分中表述不明时，以</w:t>
            </w:r>
            <w:r>
              <w:rPr>
                <w:rFonts w:hint="eastAsia" w:ascii="Times New Roman" w:hAnsi="Times New Roman" w:cs="Times New Roman"/>
                <w:bCs/>
                <w:color w:val="000000"/>
                <w:szCs w:val="21"/>
                <w:highlight w:val="none"/>
              </w:rPr>
              <w:t>比选申请人</w:t>
            </w:r>
            <w:r>
              <w:rPr>
                <w:rFonts w:ascii="Times New Roman" w:hAnsi="Times New Roman" w:cs="Times New Roman"/>
                <w:bCs/>
                <w:color w:val="000000"/>
                <w:szCs w:val="21"/>
                <w:highlight w:val="none"/>
              </w:rPr>
              <w:t>须知前附表的所述内容为准。</w:t>
            </w:r>
          </w:p>
        </w:tc>
      </w:tr>
      <w:tr w14:paraId="4EA7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63" w:type="dxa"/>
            <w:vMerge w:val="continue"/>
            <w:vAlign w:val="center"/>
          </w:tcPr>
          <w:p w14:paraId="4415AF38">
            <w:pPr>
              <w:spacing w:line="360" w:lineRule="auto"/>
              <w:jc w:val="center"/>
              <w:rPr>
                <w:rFonts w:ascii="Times New Roman" w:hAnsi="Times New Roman" w:cs="Times New Roman"/>
                <w:b/>
                <w:color w:val="000000"/>
                <w:szCs w:val="21"/>
                <w:highlight w:val="none"/>
              </w:rPr>
            </w:pPr>
          </w:p>
        </w:tc>
        <w:tc>
          <w:tcPr>
            <w:tcW w:w="1962" w:type="dxa"/>
            <w:vMerge w:val="continue"/>
            <w:vAlign w:val="center"/>
          </w:tcPr>
          <w:p w14:paraId="25269B69">
            <w:pPr>
              <w:pStyle w:val="9"/>
              <w:spacing w:line="360" w:lineRule="auto"/>
              <w:ind w:left="0" w:leftChars="0" w:firstLine="411" w:firstLineChars="196"/>
              <w:jc w:val="center"/>
              <w:rPr>
                <w:b/>
                <w:color w:val="000000"/>
                <w:szCs w:val="21"/>
                <w:highlight w:val="none"/>
              </w:rPr>
            </w:pPr>
          </w:p>
        </w:tc>
        <w:tc>
          <w:tcPr>
            <w:tcW w:w="6895" w:type="dxa"/>
            <w:vAlign w:val="center"/>
          </w:tcPr>
          <w:p w14:paraId="689C78F8">
            <w:pPr>
              <w:spacing w:line="360" w:lineRule="auto"/>
              <w:ind w:right="149" w:rightChars="71"/>
              <w:rPr>
                <w:rFonts w:ascii="Times New Roman" w:hAnsi="Times New Roman" w:cs="Times New Roman"/>
                <w:bCs/>
                <w:color w:val="000000"/>
                <w:szCs w:val="21"/>
                <w:highlight w:val="none"/>
              </w:rPr>
            </w:pP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“★”号条款为</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文件规定的实质性要求。未实质性响应</w:t>
            </w:r>
            <w:r>
              <w:rPr>
                <w:rFonts w:hint="eastAsia" w:ascii="Times New Roman" w:hAnsi="Times New Roman" w:cs="Times New Roman"/>
                <w:bCs/>
                <w:color w:val="000000"/>
                <w:szCs w:val="21"/>
                <w:highlight w:val="none"/>
              </w:rPr>
              <w:t>比选</w:t>
            </w:r>
            <w:r>
              <w:rPr>
                <w:rFonts w:ascii="Times New Roman" w:hAnsi="Times New Roman" w:cs="Times New Roman"/>
                <w:bCs/>
                <w:color w:val="000000"/>
                <w:szCs w:val="21"/>
                <w:highlight w:val="none"/>
              </w:rPr>
              <w:t>文件中 “★”号条款，视为重大偏差（报价详细评审的重大偏差另行约定），</w:t>
            </w:r>
            <w:r>
              <w:rPr>
                <w:rFonts w:hint="eastAsia" w:ascii="Times New Roman" w:hAnsi="Times New Roman" w:cs="Times New Roman"/>
                <w:bCs/>
                <w:color w:val="000000"/>
                <w:szCs w:val="21"/>
                <w:highlight w:val="none"/>
              </w:rPr>
              <w:t>比选申请文件</w:t>
            </w:r>
            <w:r>
              <w:rPr>
                <w:rFonts w:ascii="Times New Roman" w:hAnsi="Times New Roman" w:cs="Times New Roman"/>
                <w:bCs/>
                <w:color w:val="000000"/>
                <w:szCs w:val="21"/>
                <w:highlight w:val="none"/>
              </w:rPr>
              <w:t>无效。</w:t>
            </w:r>
          </w:p>
        </w:tc>
      </w:tr>
      <w:tr w14:paraId="23D9A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863" w:type="dxa"/>
            <w:vAlign w:val="center"/>
          </w:tcPr>
          <w:p w14:paraId="287FCB1C">
            <w:pPr>
              <w:tabs>
                <w:tab w:val="center" w:pos="1080"/>
                <w:tab w:val="left" w:pos="5220"/>
                <w:tab w:val="left" w:pos="5400"/>
                <w:tab w:val="left" w:pos="5580"/>
              </w:tabs>
              <w:autoSpaceDE w:val="0"/>
              <w:autoSpaceDN w:val="0"/>
              <w:adjustRightInd w:val="0"/>
              <w:spacing w:line="320" w:lineRule="exact"/>
              <w:jc w:val="center"/>
              <w:rPr>
                <w:rFonts w:ascii="Times New Roman" w:hAnsi="Times New Roman" w:cs="Times New Roman"/>
                <w:kern w:val="0"/>
                <w:sz w:val="20"/>
                <w:szCs w:val="20"/>
                <w:highlight w:val="none"/>
              </w:rPr>
            </w:pPr>
            <w:r>
              <w:rPr>
                <w:rFonts w:hint="eastAsia" w:ascii="Times New Roman" w:hAnsi="Times New Roman" w:cs="Times New Roman"/>
                <w:kern w:val="0"/>
                <w:sz w:val="20"/>
                <w:szCs w:val="20"/>
                <w:highlight w:val="none"/>
              </w:rPr>
              <w:t>4</w:t>
            </w:r>
            <w:r>
              <w:rPr>
                <w:rFonts w:hint="eastAsia" w:ascii="Times New Roman" w:hAnsi="Times New Roman" w:cs="Times New Roman"/>
                <w:kern w:val="0"/>
                <w:sz w:val="20"/>
                <w:szCs w:val="20"/>
                <w:highlight w:val="none"/>
                <w:lang w:val="en-US" w:eastAsia="zh-CN"/>
              </w:rPr>
              <w:t>4</w:t>
            </w:r>
          </w:p>
        </w:tc>
        <w:tc>
          <w:tcPr>
            <w:tcW w:w="1962" w:type="dxa"/>
            <w:vAlign w:val="center"/>
          </w:tcPr>
          <w:p w14:paraId="7850E5EF">
            <w:pPr>
              <w:pStyle w:val="11"/>
              <w:spacing w:line="340" w:lineRule="exact"/>
              <w:jc w:val="center"/>
              <w:rPr>
                <w:rFonts w:ascii="Times New Roman" w:hAnsi="Times New Roman" w:cs="Times New Roman"/>
                <w:bCs/>
                <w:color w:val="000000"/>
                <w:highlight w:val="none"/>
              </w:rPr>
            </w:pPr>
            <w:r>
              <w:rPr>
                <w:rFonts w:ascii="Times New Roman" w:hAnsi="Times New Roman" w:cs="Times New Roman"/>
                <w:bCs/>
                <w:color w:val="000000"/>
                <w:highlight w:val="none"/>
              </w:rPr>
              <w:t>监督部门</w:t>
            </w:r>
          </w:p>
        </w:tc>
        <w:tc>
          <w:tcPr>
            <w:tcW w:w="6895" w:type="dxa"/>
            <w:vAlign w:val="center"/>
          </w:tcPr>
          <w:p w14:paraId="614FF043">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四川蜀道新能源科技发展有限公司</w:t>
            </w:r>
            <w:r>
              <w:rPr>
                <w:rFonts w:hint="eastAsia" w:ascii="Times New Roman" w:hAnsi="Times New Roman" w:cs="Times New Roman"/>
                <w:bCs/>
                <w:color w:val="000000"/>
                <w:highlight w:val="none"/>
              </w:rPr>
              <w:t>招标</w:t>
            </w:r>
            <w:r>
              <w:rPr>
                <w:rFonts w:hint="eastAsia" w:ascii="Times New Roman" w:hAnsi="Times New Roman" w:cs="Times New Roman"/>
                <w:bCs/>
                <w:color w:val="000000"/>
                <w:highlight w:val="none"/>
                <w:lang w:eastAsia="zh-CN"/>
              </w:rPr>
              <w:t>工作</w:t>
            </w:r>
            <w:r>
              <w:rPr>
                <w:rFonts w:hint="eastAsia" w:ascii="Times New Roman" w:hAnsi="Times New Roman" w:cs="Times New Roman"/>
                <w:bCs/>
                <w:color w:val="000000"/>
                <w:highlight w:val="none"/>
              </w:rPr>
              <w:t>领导小组</w:t>
            </w:r>
          </w:p>
          <w:p w14:paraId="0C8B769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地    址：成都市创业路1号剑恒发展中心14楼</w:t>
            </w:r>
          </w:p>
          <w:p w14:paraId="4FC60F38">
            <w:pPr>
              <w:pStyle w:val="11"/>
              <w:spacing w:line="360" w:lineRule="auto"/>
              <w:rPr>
                <w:rFonts w:ascii="Times New Roman" w:hAnsi="Times New Roman" w:cs="Times New Roman"/>
                <w:bCs/>
                <w:color w:val="000000"/>
                <w:highlight w:val="none"/>
              </w:rPr>
            </w:pPr>
            <w:r>
              <w:rPr>
                <w:rFonts w:ascii="Times New Roman" w:hAnsi="Times New Roman" w:cs="Times New Roman"/>
                <w:bCs/>
                <w:color w:val="000000"/>
                <w:highlight w:val="none"/>
              </w:rPr>
              <w:t>电    话：</w:t>
            </w:r>
            <w:r>
              <w:rPr>
                <w:rFonts w:hint="eastAsia" w:ascii="Times New Roman" w:hAnsi="Times New Roman" w:cs="Times New Roman"/>
                <w:bCs/>
                <w:color w:val="000000"/>
                <w:highlight w:val="none"/>
              </w:rPr>
              <w:t>028-</w:t>
            </w:r>
            <w:r>
              <w:rPr>
                <w:rFonts w:hint="eastAsia" w:ascii="Times New Roman" w:hAnsi="Times New Roman" w:cs="Times New Roman"/>
                <w:bCs/>
                <w:color w:val="000000"/>
                <w:highlight w:val="none"/>
                <w:lang w:eastAsia="zh-CN"/>
              </w:rPr>
              <w:t>61520906</w:t>
            </w:r>
          </w:p>
          <w:p w14:paraId="4ECD5506">
            <w:pPr>
              <w:pStyle w:val="11"/>
              <w:spacing w:line="360" w:lineRule="auto"/>
              <w:rPr>
                <w:rFonts w:ascii="Times New Roman" w:hAnsi="Times New Roman" w:cs="Times New Roman"/>
                <w:bCs/>
                <w:color w:val="000000"/>
                <w:highlight w:val="none"/>
              </w:rPr>
            </w:pPr>
            <w:r>
              <w:rPr>
                <w:rFonts w:hint="eastAsia" w:ascii="Times New Roman" w:hAnsi="Times New Roman" w:cs="Times New Roman"/>
                <w:bCs/>
                <w:color w:val="000000"/>
                <w:highlight w:val="none"/>
              </w:rPr>
              <w:t>比选申请人</w:t>
            </w:r>
            <w:r>
              <w:rPr>
                <w:rFonts w:ascii="Times New Roman" w:hAnsi="Times New Roman" w:cs="Times New Roman"/>
                <w:bCs/>
                <w:color w:val="000000"/>
                <w:highlight w:val="none"/>
              </w:rPr>
              <w:t>或者其他利害关系人对</w:t>
            </w:r>
            <w:r>
              <w:rPr>
                <w:rFonts w:hint="eastAsia" w:ascii="Times New Roman" w:hAnsi="Times New Roman" w:cs="Times New Roman"/>
                <w:bCs/>
                <w:color w:val="000000"/>
                <w:highlight w:val="none"/>
                <w:lang w:eastAsia="zh-CN"/>
              </w:rPr>
              <w:t>评审</w:t>
            </w:r>
            <w:r>
              <w:rPr>
                <w:rFonts w:ascii="Times New Roman" w:hAnsi="Times New Roman" w:cs="Times New Roman"/>
                <w:bCs/>
                <w:color w:val="000000"/>
                <w:highlight w:val="none"/>
              </w:rPr>
              <w:t>结果有异议需要投诉的，应当在</w:t>
            </w:r>
            <w:r>
              <w:rPr>
                <w:rFonts w:hint="eastAsia" w:ascii="Times New Roman" w:hAnsi="Times New Roman" w:cs="Times New Roman"/>
                <w:bCs/>
                <w:color w:val="000000"/>
                <w:highlight w:val="none"/>
              </w:rPr>
              <w:t>中选</w:t>
            </w:r>
            <w:r>
              <w:rPr>
                <w:rFonts w:ascii="Times New Roman" w:hAnsi="Times New Roman" w:cs="Times New Roman"/>
                <w:bCs/>
                <w:color w:val="000000"/>
                <w:highlight w:val="none"/>
              </w:rPr>
              <w:t>候选人公示期间提出，公示时间结束后不予受理。</w:t>
            </w:r>
          </w:p>
        </w:tc>
      </w:tr>
    </w:tbl>
    <w:p w14:paraId="338FD16C">
      <w:pP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br w:type="page"/>
      </w:r>
    </w:p>
    <w:p w14:paraId="4E3E0F0A">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1.总则</w:t>
      </w:r>
    </w:p>
    <w:p w14:paraId="4A487DD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 项目概况</w:t>
      </w:r>
    </w:p>
    <w:p w14:paraId="721E401D">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1.1.1本比选文件仅适用于本次比选项目。</w:t>
      </w:r>
    </w:p>
    <w:p w14:paraId="733DC23E">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1.1.2本比选项目比选人：见比选公告</w:t>
      </w:r>
    </w:p>
    <w:p w14:paraId="3184D956">
      <w:pPr>
        <w:snapToGrid w:val="0"/>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1.1.3本比选项目名称：见比选申请人须知前附表。</w:t>
      </w:r>
    </w:p>
    <w:p w14:paraId="0722CB3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1.2 资金来源和落实情况</w:t>
      </w:r>
    </w:p>
    <w:p w14:paraId="7507ED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1.2.1 本项目的资金来源：见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DE7D89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1.2.2 本项目的出资比例：见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D495D3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1.2.3 本项目的资金落实情况：见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36EB676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范围、计划工期和质量要求</w:t>
      </w:r>
    </w:p>
    <w:p w14:paraId="23F6FA5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1.3.1 本次范围：见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2A89A7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1.3.2 本项目的计划工期：见</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1053DE7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1.3.3 本项目的质量要求：见</w:t>
      </w:r>
      <w:r>
        <w:rPr>
          <w:rFonts w:hint="eastAsia" w:ascii="Times New Roman" w:hAnsi="Times New Roman" w:cs="Times New Roman"/>
          <w:color w:val="000000"/>
          <w:szCs w:val="21"/>
          <w:highlight w:val="none"/>
        </w:rPr>
        <w:t>比选公告.</w:t>
      </w:r>
    </w:p>
    <w:p w14:paraId="4A88018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1.4 </w:t>
      </w:r>
      <w:r>
        <w:rPr>
          <w:rFonts w:hint="eastAsia" w:ascii="Times New Roman" w:hAnsi="Times New Roman" w:cs="Times New Roman"/>
          <w:b/>
          <w:bCs/>
          <w:color w:val="000000"/>
          <w:szCs w:val="21"/>
          <w:highlight w:val="none"/>
        </w:rPr>
        <w:t>比选申请人</w:t>
      </w:r>
      <w:r>
        <w:rPr>
          <w:rFonts w:ascii="Times New Roman" w:hAnsi="Times New Roman" w:cs="Times New Roman"/>
          <w:b/>
          <w:color w:val="000000"/>
          <w:szCs w:val="21"/>
          <w:highlight w:val="none"/>
        </w:rPr>
        <w:t>资格要求</w:t>
      </w:r>
    </w:p>
    <w:p w14:paraId="6EAAC27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应具备承担本项目的资质条件、能力和信誉。</w:t>
      </w:r>
    </w:p>
    <w:p w14:paraId="218F3B0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(l)资质要求：见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58CAC9C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(2)财务要求：无；</w:t>
      </w:r>
    </w:p>
    <w:p w14:paraId="5B9215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(3)业绩要求：见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766A36F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(4)信誉要求：见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66EB7B3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(5)人员要求：见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r>
        <w:rPr>
          <w:rFonts w:hint="eastAsia" w:ascii="Times New Roman" w:hAnsi="Times New Roman" w:cs="Times New Roman"/>
          <w:color w:val="000000"/>
          <w:szCs w:val="21"/>
          <w:highlight w:val="none"/>
        </w:rPr>
        <w:t>；</w:t>
      </w:r>
    </w:p>
    <w:p w14:paraId="75B947F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6</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eastAsia="zh-CN"/>
        </w:rPr>
        <w:t>其他要求</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无</w:t>
      </w:r>
      <w:r>
        <w:rPr>
          <w:rFonts w:ascii="Times New Roman" w:hAnsi="Times New Roman" w:cs="Times New Roman"/>
          <w:color w:val="000000"/>
          <w:szCs w:val="21"/>
          <w:highlight w:val="none"/>
        </w:rPr>
        <w:t>。</w:t>
      </w:r>
    </w:p>
    <w:p w14:paraId="0803DF3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1.4.2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的，除应符合本章第1.4.1项和</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须知前附表的要求外，还应遵守以下规定：</w:t>
      </w:r>
    </w:p>
    <w:p w14:paraId="7750239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(1)联合体各方应按</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文件提供的格式签订联合体协议书，明确联合体牵头人和各方权利义务；</w:t>
      </w:r>
    </w:p>
    <w:p w14:paraId="4CC737B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(2)由同一专业的单位组成的联合体，按照资质等级较低的单位确定资质等级；</w:t>
      </w:r>
    </w:p>
    <w:p w14:paraId="551AAF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(3)联合体各方不得再以自己名义单独或参加其他联合体在同一项目中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3943D35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1.4.3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不得存在下列情形之一：</w:t>
      </w:r>
    </w:p>
    <w:p w14:paraId="519C2CC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（1）为</w:t>
      </w:r>
      <w:r>
        <w:rPr>
          <w:rFonts w:hint="eastAsia" w:ascii="Times New Roman" w:hAnsi="Times New Roman" w:cs="Times New Roman"/>
          <w:color w:val="000000"/>
          <w:szCs w:val="21"/>
          <w:highlight w:val="none"/>
        </w:rPr>
        <w:t>比选人</w:t>
      </w:r>
      <w:r>
        <w:rPr>
          <w:rFonts w:ascii="Times New Roman" w:hAnsi="Times New Roman" w:cs="Times New Roman"/>
          <w:color w:val="000000"/>
          <w:highlight w:val="none"/>
        </w:rPr>
        <w:t>不具有独立法人资格的附属机构（单位）；</w:t>
      </w:r>
    </w:p>
    <w:p w14:paraId="0F2790D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（2）为本项目前期工作提供咨询服务的；</w:t>
      </w:r>
    </w:p>
    <w:p w14:paraId="7682940D">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（3）为本项目的监理人；</w:t>
      </w:r>
    </w:p>
    <w:p w14:paraId="776A1537">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（4）为本项目的代建人；</w:t>
      </w:r>
    </w:p>
    <w:p w14:paraId="53CA29C6">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（5）为本项目提供代理服务的；</w:t>
      </w:r>
    </w:p>
    <w:p w14:paraId="5128FCC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（6）被责令停业的；</w:t>
      </w:r>
    </w:p>
    <w:p w14:paraId="7CC7A0D2">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（7）被暂停或取消</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资格的；</w:t>
      </w:r>
    </w:p>
    <w:p w14:paraId="1C82E4A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（8）财产被接管或冻结的；</w:t>
      </w:r>
    </w:p>
    <w:p w14:paraId="520AFB1C">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（9）在最近三年内有骗取</w:t>
      </w:r>
      <w:r>
        <w:rPr>
          <w:rFonts w:hint="eastAsia" w:ascii="Times New Roman" w:hAnsi="Times New Roman" w:cs="Times New Roman"/>
          <w:color w:val="000000"/>
          <w:highlight w:val="none"/>
        </w:rPr>
        <w:t>中选</w:t>
      </w:r>
      <w:r>
        <w:rPr>
          <w:rFonts w:ascii="Times New Roman" w:hAnsi="Times New Roman" w:cs="Times New Roman"/>
          <w:color w:val="000000"/>
          <w:highlight w:val="none"/>
        </w:rPr>
        <w:t>或严重违约或重大工程质量问题的；</w:t>
      </w:r>
    </w:p>
    <w:p w14:paraId="052E195B">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（10）与本项目的监理人或代建人或代理机构同为一个法定代表人的；</w:t>
      </w:r>
    </w:p>
    <w:p w14:paraId="07A39E95">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（11）与本项目的监理人或代建人或代理机构相互控股或参股的；</w:t>
      </w:r>
    </w:p>
    <w:p w14:paraId="191E87E9">
      <w:pPr>
        <w:spacing w:line="360" w:lineRule="auto"/>
        <w:ind w:firstLine="315" w:firstLineChars="150"/>
        <w:rPr>
          <w:rFonts w:ascii="Times New Roman" w:hAnsi="Times New Roman" w:cs="Times New Roman"/>
          <w:color w:val="000000"/>
          <w:highlight w:val="none"/>
        </w:rPr>
      </w:pPr>
      <w:r>
        <w:rPr>
          <w:rFonts w:ascii="Times New Roman" w:hAnsi="Times New Roman" w:cs="Times New Roman"/>
          <w:color w:val="000000"/>
          <w:highlight w:val="none"/>
        </w:rPr>
        <w:t>（12）与本项目的监理人或代建人或代理机构相互任职或工作的。</w:t>
      </w:r>
    </w:p>
    <w:p w14:paraId="57EF54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1.5 费用承担</w:t>
      </w:r>
    </w:p>
    <w:p w14:paraId="591B9B6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准备和参加</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活动发生的费用自理。</w:t>
      </w:r>
    </w:p>
    <w:p w14:paraId="0A3326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1.6 保密</w:t>
      </w:r>
    </w:p>
    <w:p w14:paraId="45B5E72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参与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活动的各方应对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中的商业和技术等秘密保密，违者应对由此造成的后果承担法律责任。</w:t>
      </w:r>
    </w:p>
    <w:p w14:paraId="4F489D5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1.7 语言文字</w:t>
      </w:r>
    </w:p>
    <w:p w14:paraId="5F1127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除专用术语外，与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有关的语言均使用中文。必要时专用术语应附有中文注释。</w:t>
      </w:r>
    </w:p>
    <w:p w14:paraId="2C7F869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1.8 计量单位</w:t>
      </w:r>
    </w:p>
    <w:p w14:paraId="17E38F5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所有计量均采用中华人民共和国法定计量单位。</w:t>
      </w:r>
    </w:p>
    <w:p w14:paraId="12EDB38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1.9 踏勘现场</w:t>
      </w:r>
    </w:p>
    <w:p w14:paraId="1EC636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highlight w:val="none"/>
        </w:rPr>
        <w:t>现场踏勘：</w:t>
      </w:r>
      <w:r>
        <w:rPr>
          <w:rFonts w:hint="eastAsia" w:ascii="Times New Roman" w:hAnsi="Times New Roman" w:cs="Times New Roman"/>
          <w:highlight w:val="none"/>
        </w:rPr>
        <w:t>比选人</w:t>
      </w:r>
      <w:r>
        <w:rPr>
          <w:rFonts w:ascii="Times New Roman" w:hAnsi="Times New Roman" w:cs="Times New Roman"/>
          <w:highlight w:val="none"/>
          <w:u w:val="single"/>
        </w:rPr>
        <w:t>不组织</w:t>
      </w:r>
      <w:r>
        <w:rPr>
          <w:rFonts w:ascii="Times New Roman" w:hAnsi="Times New Roman" w:cs="Times New Roman"/>
          <w:highlight w:val="none"/>
        </w:rPr>
        <w:t>，由</w:t>
      </w:r>
      <w:r>
        <w:rPr>
          <w:rFonts w:hint="eastAsia" w:ascii="Times New Roman" w:hAnsi="Times New Roman" w:cs="Times New Roman"/>
          <w:highlight w:val="none"/>
        </w:rPr>
        <w:t>比选申请人</w:t>
      </w:r>
      <w:r>
        <w:rPr>
          <w:rFonts w:ascii="Times New Roman" w:hAnsi="Times New Roman" w:cs="Times New Roman"/>
          <w:highlight w:val="none"/>
        </w:rPr>
        <w:t>自行组织前往，</w:t>
      </w:r>
      <w:r>
        <w:rPr>
          <w:rFonts w:hint="eastAsia" w:ascii="Times New Roman" w:hAnsi="Times New Roman" w:cs="Times New Roman"/>
          <w:highlight w:val="none"/>
        </w:rPr>
        <w:t>比选申请人</w:t>
      </w:r>
      <w:r>
        <w:rPr>
          <w:rFonts w:ascii="Times New Roman" w:hAnsi="Times New Roman" w:cs="Times New Roman"/>
          <w:highlight w:val="none"/>
        </w:rPr>
        <w:t>自行负责踏勘过程中的交通、安全以及相关费用。</w:t>
      </w:r>
    </w:p>
    <w:p w14:paraId="246B126C">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1.10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预备会</w:t>
      </w:r>
    </w:p>
    <w:p w14:paraId="26BC7448">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highlight w:val="none"/>
        </w:rPr>
        <w:t>比选人</w:t>
      </w:r>
      <w:r>
        <w:rPr>
          <w:rFonts w:ascii="Times New Roman" w:hAnsi="Times New Roman" w:cs="Times New Roman"/>
          <w:highlight w:val="none"/>
        </w:rPr>
        <w:t>不组织召开</w:t>
      </w:r>
      <w:r>
        <w:rPr>
          <w:rFonts w:hint="eastAsia" w:ascii="Times New Roman" w:hAnsi="Times New Roman" w:cs="Times New Roman"/>
          <w:highlight w:val="none"/>
        </w:rPr>
        <w:t>比选申请</w:t>
      </w:r>
      <w:r>
        <w:rPr>
          <w:rFonts w:ascii="Times New Roman" w:hAnsi="Times New Roman" w:cs="Times New Roman"/>
          <w:highlight w:val="none"/>
        </w:rPr>
        <w:t>预备会。</w:t>
      </w:r>
    </w:p>
    <w:p w14:paraId="11F51C6A">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1.11 分包</w:t>
      </w:r>
    </w:p>
    <w:p w14:paraId="53BCD2E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DAA2CA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1.12 偏离</w:t>
      </w:r>
    </w:p>
    <w:p w14:paraId="0E3CE6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u w:val="single"/>
        </w:rPr>
        <w:t>不允许</w:t>
      </w:r>
      <w:r>
        <w:rPr>
          <w:rFonts w:ascii="Times New Roman" w:hAnsi="Times New Roman" w:cs="Times New Roman"/>
          <w:color w:val="000000"/>
          <w:szCs w:val="21"/>
          <w:highlight w:val="none"/>
        </w:rPr>
        <w:t>偏离</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w:t>
      </w:r>
    </w:p>
    <w:p w14:paraId="08D16C60">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w:t>
      </w:r>
    </w:p>
    <w:p w14:paraId="704B269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2.1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文件的组成</w:t>
      </w:r>
    </w:p>
    <w:p w14:paraId="24F3EC0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文件包括：</w:t>
      </w:r>
    </w:p>
    <w:p w14:paraId="7D5C92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w:t>
      </w:r>
    </w:p>
    <w:p w14:paraId="5C3EDD8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w:t>
      </w:r>
    </w:p>
    <w:p w14:paraId="4FF731C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p>
    <w:p w14:paraId="0D92E94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（4）合同条款及格式；</w:t>
      </w:r>
    </w:p>
    <w:p w14:paraId="0B532DF6">
      <w:pPr>
        <w:spacing w:line="360" w:lineRule="auto"/>
        <w:ind w:firstLine="420" w:firstLineChars="200"/>
        <w:rPr>
          <w:rFonts w:hint="default" w:ascii="Times New Roman" w:hAnsi="Times New Roman" w:cs="Times New Roman"/>
          <w:color w:val="000000"/>
          <w:szCs w:val="21"/>
          <w:highlight w:val="none"/>
          <w:lang w:val="en-US" w:eastAsia="zh-CN"/>
        </w:rPr>
      </w:pPr>
      <w:r>
        <w:rPr>
          <w:rFonts w:ascii="Times New Roman" w:hAnsi="Times New Roman" w:cs="Times New Roman"/>
          <w:color w:val="000000"/>
          <w:szCs w:val="21"/>
          <w:highlight w:val="none"/>
        </w:rPr>
        <w:t>（5）</w:t>
      </w:r>
      <w:r>
        <w:rPr>
          <w:rFonts w:hint="eastAsia" w:ascii="Times New Roman" w:hAnsi="Times New Roman" w:cs="Times New Roman"/>
          <w:color w:val="000000"/>
          <w:szCs w:val="21"/>
          <w:highlight w:val="none"/>
          <w:lang w:val="en-US" w:eastAsia="zh-CN"/>
        </w:rPr>
        <w:t>招标控制价（施工图预算）及图纸；</w:t>
      </w:r>
    </w:p>
    <w:p w14:paraId="0E2F0C5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698454A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根据本章第2.2 款和第2.3 款对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文件所作的澄清、修改，构成</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文件的组成部分。</w:t>
      </w:r>
    </w:p>
    <w:p w14:paraId="2D125D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2.2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文件的澄清</w:t>
      </w:r>
    </w:p>
    <w:p w14:paraId="3D51019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C6DE661">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2.3 </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文件的修改</w:t>
      </w:r>
    </w:p>
    <w:p w14:paraId="5E157AD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详见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F87516F">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r>
        <w:rPr>
          <w:rFonts w:hint="eastAsia" w:ascii="Times New Roman" w:hAnsi="Times New Roman" w:cs="Times New Roman"/>
          <w:b/>
          <w:color w:val="000000"/>
          <w:szCs w:val="21"/>
          <w:highlight w:val="none"/>
        </w:rPr>
        <w:t>比选申请文件</w:t>
      </w:r>
    </w:p>
    <w:p w14:paraId="77C3386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的组成</w:t>
      </w:r>
    </w:p>
    <w:p w14:paraId="7609C0E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应包括的内容见“</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p w14:paraId="085C66D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须知前附表规定不接受联合体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没有组成联合体的，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 xml:space="preserve">无须提供联合体协议书。 </w:t>
      </w:r>
    </w:p>
    <w:p w14:paraId="61DE47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3.2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报价</w:t>
      </w:r>
    </w:p>
    <w:p w14:paraId="39DBD09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格式”的要求填写相应表格。</w:t>
      </w:r>
    </w:p>
    <w:p w14:paraId="6D79AA0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在</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前修改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函中的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报价，须符合本章第4.</w:t>
      </w:r>
      <w:r>
        <w:rPr>
          <w:rFonts w:hint="eastAsia" w:ascii="Times New Roman" w:hAnsi="Times New Roman" w:cs="Times New Roman"/>
          <w:color w:val="000000"/>
          <w:szCs w:val="21"/>
          <w:highlight w:val="none"/>
        </w:rPr>
        <w:t>2</w:t>
      </w:r>
      <w:r>
        <w:rPr>
          <w:rFonts w:ascii="Times New Roman" w:hAnsi="Times New Roman" w:cs="Times New Roman"/>
          <w:color w:val="000000"/>
          <w:szCs w:val="21"/>
          <w:highlight w:val="none"/>
        </w:rPr>
        <w:t>款的有关要求。</w:t>
      </w:r>
    </w:p>
    <w:p w14:paraId="04D1E2F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3.3 </w:t>
      </w:r>
      <w:r>
        <w:rPr>
          <w:rFonts w:hint="eastAsia" w:ascii="Times New Roman" w:hAnsi="Times New Roman" w:cs="Times New Roman"/>
          <w:b/>
          <w:color w:val="000000"/>
          <w:szCs w:val="21"/>
          <w:highlight w:val="none"/>
        </w:rPr>
        <w:t>比选申请</w:t>
      </w:r>
      <w:r>
        <w:rPr>
          <w:rFonts w:ascii="Times New Roman" w:hAnsi="Times New Roman" w:cs="Times New Roman"/>
          <w:b/>
          <w:color w:val="000000"/>
          <w:szCs w:val="21"/>
          <w:highlight w:val="none"/>
        </w:rPr>
        <w:t>有效期</w:t>
      </w:r>
    </w:p>
    <w:p w14:paraId="6A933CB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须知前附表规定的</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有效期内，</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不得要求撤销或修改其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75C6059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出现特殊情况需要延长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以</w:t>
      </w:r>
      <w:r>
        <w:rPr>
          <w:rFonts w:hint="eastAsia" w:ascii="Times New Roman" w:hAnsi="Times New Roman" w:cs="Times New Roman"/>
          <w:color w:val="000000"/>
          <w:szCs w:val="21"/>
          <w:highlight w:val="none"/>
        </w:rPr>
        <w:t>公示形式</w:t>
      </w:r>
      <w:r>
        <w:rPr>
          <w:rFonts w:ascii="Times New Roman" w:hAnsi="Times New Roman" w:cs="Times New Roman"/>
          <w:color w:val="000000"/>
          <w:szCs w:val="21"/>
          <w:highlight w:val="none"/>
        </w:rPr>
        <w:t>通知所有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延长</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同意延长的，应相应延长其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的有效期，但不得要求或被允许修改或撤销其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拒绝延长的，其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失效，但</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有权收回其</w:t>
      </w:r>
      <w:r>
        <w:rPr>
          <w:rFonts w:hint="eastAsia" w:ascii="Times New Roman" w:hAnsi="Times New Roman" w:cs="Times New Roman"/>
          <w:color w:val="000000"/>
          <w:szCs w:val="21"/>
          <w:highlight w:val="none"/>
          <w:lang w:eastAsia="zh-CN"/>
        </w:rPr>
        <w:t>投标保证金</w:t>
      </w:r>
      <w:r>
        <w:rPr>
          <w:rFonts w:ascii="Times New Roman" w:hAnsi="Times New Roman" w:cs="Times New Roman"/>
          <w:color w:val="000000"/>
          <w:szCs w:val="21"/>
          <w:highlight w:val="none"/>
        </w:rPr>
        <w:t>。</w:t>
      </w:r>
    </w:p>
    <w:p w14:paraId="382ED4DA">
      <w:pPr>
        <w:spacing w:line="360" w:lineRule="auto"/>
        <w:rPr>
          <w:rFonts w:hint="eastAsia" w:ascii="Times New Roman" w:hAnsi="Times New Roman" w:eastAsia="宋体" w:cs="Times New Roman"/>
          <w:b/>
          <w:color w:val="000000"/>
          <w:szCs w:val="21"/>
          <w:highlight w:val="none"/>
          <w:lang w:eastAsia="zh-CN"/>
        </w:rPr>
      </w:pPr>
      <w:r>
        <w:rPr>
          <w:rFonts w:ascii="Times New Roman" w:hAnsi="Times New Roman" w:cs="Times New Roman"/>
          <w:b/>
          <w:color w:val="000000"/>
          <w:szCs w:val="21"/>
          <w:highlight w:val="none"/>
        </w:rPr>
        <w:t xml:space="preserve">3.4 </w:t>
      </w:r>
      <w:r>
        <w:rPr>
          <w:rFonts w:hint="eastAsia" w:ascii="Times New Roman" w:hAnsi="Times New Roman" w:cs="Times New Roman"/>
          <w:b/>
          <w:color w:val="000000"/>
          <w:szCs w:val="21"/>
          <w:highlight w:val="none"/>
          <w:lang w:eastAsia="zh-CN"/>
        </w:rPr>
        <w:t>投标保证金</w:t>
      </w:r>
    </w:p>
    <w:p w14:paraId="6844C6F5">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091016A8">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3.5 资格审查资料</w:t>
      </w:r>
    </w:p>
    <w:p w14:paraId="7E43633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基本情况表”应附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有效的营业执照副本、资质证书和安全生产许可证（依法不需要提供的除外）等材料的复印件或扫描件。</w:t>
      </w:r>
    </w:p>
    <w:p w14:paraId="78F9299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3.5.2 “近年财务状况表”：不提供。</w:t>
      </w:r>
    </w:p>
    <w:p w14:paraId="3424E6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3.5.3 “类似工程业绩表”：具体要求以第三章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办法类似工程业绩要求为准。</w:t>
      </w:r>
    </w:p>
    <w:p w14:paraId="590B104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3.5.4“企业工程业绩汇总表”：具体要求以第三章</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w:t>
      </w:r>
      <w:r>
        <w:rPr>
          <w:rFonts w:hint="eastAsia" w:ascii="Times New Roman" w:hAnsi="Times New Roman" w:cs="Times New Roman"/>
          <w:color w:val="000000"/>
          <w:szCs w:val="21"/>
          <w:highlight w:val="none"/>
        </w:rPr>
        <w:t>业绩</w:t>
      </w:r>
      <w:r>
        <w:rPr>
          <w:rFonts w:ascii="Times New Roman" w:hAnsi="Times New Roman" w:cs="Times New Roman"/>
          <w:color w:val="000000"/>
          <w:szCs w:val="21"/>
          <w:highlight w:val="none"/>
        </w:rPr>
        <w:t>要求为准。</w:t>
      </w:r>
    </w:p>
    <w:p w14:paraId="43A1A5D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3.5.5“近年发生的诉讼及仲裁情况”：不提供。</w:t>
      </w:r>
    </w:p>
    <w:p w14:paraId="7C8810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3.5.6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须知前附表规定接受联合体</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的，本章第3.5.1 项至第3.5.5 项规定的表格和资料应包括联合体各方相关情况。</w:t>
      </w:r>
    </w:p>
    <w:p w14:paraId="07A2C80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3.6 备选</w:t>
      </w:r>
      <w:r>
        <w:rPr>
          <w:rFonts w:hint="eastAsia" w:ascii="Times New Roman" w:hAnsi="Times New Roman" w:cs="Times New Roman"/>
          <w:b/>
          <w:color w:val="000000"/>
          <w:szCs w:val="21"/>
          <w:highlight w:val="none"/>
        </w:rPr>
        <w:t>比选申请文件</w:t>
      </w:r>
    </w:p>
    <w:p w14:paraId="55778AA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不得递交备选</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62F015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3.7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的编制</w:t>
      </w:r>
    </w:p>
    <w:p w14:paraId="6B4DCC1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3.7.1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格式”进行编写，如有必要，可以增加附页，作为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的组成部分。其中，</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函附录在满足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文件实质性要求的基础上，可以提出比</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文件要求更有利于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的承诺。</w:t>
      </w:r>
    </w:p>
    <w:p w14:paraId="1F56240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3.7.2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应当对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文件有关工期、</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有效期、质量要求、</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范围等实质性内容作出响应。</w:t>
      </w:r>
    </w:p>
    <w:p w14:paraId="754F472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3.7.3 </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的法定代表人或其委托代理人签字或盖单位章。委托代理人签字的，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应附法定代表人签署的授权委托书。</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应尽量避免涂改、行间插字或删除。如果出现上述情况，改动之处应加盖单位章或由</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w:t>
      </w:r>
      <w:r>
        <w:rPr>
          <w:rFonts w:hint="eastAsia" w:ascii="Times New Roman" w:hAnsi="Times New Roman" w:cs="Times New Roman"/>
          <w:color w:val="000000"/>
          <w:szCs w:val="21"/>
          <w:highlight w:val="none"/>
        </w:rPr>
        <w:t>委托代理人</w:t>
      </w:r>
      <w:r>
        <w:rPr>
          <w:rFonts w:ascii="Times New Roman" w:hAnsi="Times New Roman" w:cs="Times New Roman"/>
          <w:color w:val="000000"/>
          <w:szCs w:val="21"/>
          <w:highlight w:val="none"/>
        </w:rPr>
        <w:t>签字确认。签字或盖章的具体要求见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7B752A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4．</w:t>
      </w:r>
      <w:r>
        <w:rPr>
          <w:rFonts w:hint="eastAsia" w:ascii="Times New Roman" w:hAnsi="Times New Roman" w:cs="Times New Roman"/>
          <w:b/>
          <w:color w:val="000000"/>
          <w:szCs w:val="21"/>
          <w:highlight w:val="none"/>
        </w:rPr>
        <w:t>比选申请</w:t>
      </w:r>
    </w:p>
    <w:p w14:paraId="1302D1E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4.1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的递交</w:t>
      </w:r>
    </w:p>
    <w:p w14:paraId="3495CA5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4.2.1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应按</w:t>
      </w:r>
      <w:r>
        <w:rPr>
          <w:rFonts w:hint="eastAsia" w:ascii="Times New Roman" w:hAnsi="Times New Roman" w:cs="Times New Roman"/>
          <w:color w:val="000000"/>
          <w:szCs w:val="21"/>
          <w:highlight w:val="none"/>
        </w:rPr>
        <w:t>比选公告</w:t>
      </w:r>
      <w:r>
        <w:rPr>
          <w:rFonts w:ascii="Times New Roman" w:hAnsi="Times New Roman" w:cs="Times New Roman"/>
          <w:color w:val="000000"/>
          <w:szCs w:val="21"/>
          <w:highlight w:val="none"/>
        </w:rPr>
        <w:t>相关规定递交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6D294AD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4.2.2 除</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须知前附表另有规定外，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所递交的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不予退还。</w:t>
      </w:r>
    </w:p>
    <w:p w14:paraId="164D19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4.2.3 逾期递交的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不予受理。</w:t>
      </w:r>
    </w:p>
    <w:p w14:paraId="4811142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4.2 </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的修改与撤回</w:t>
      </w:r>
    </w:p>
    <w:p w14:paraId="6298209F">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4.3.1 在本章前附表第18项规定的</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前，</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可以修改或撤回已递交的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532244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4.3.2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修改或撤回已递交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的书面通知应按照本章第3.7.3 项的要求签字或盖章。</w:t>
      </w:r>
    </w:p>
    <w:p w14:paraId="4AFBFA2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4.3.3 修改的内容为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的组成部分。修改的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应按照本章第3 条、第4 条规定进行编制、密封、标记和递交，并标明“修改”字样。</w:t>
      </w:r>
    </w:p>
    <w:p w14:paraId="2D48F3EB">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5．开标</w:t>
      </w:r>
    </w:p>
    <w:p w14:paraId="4858440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5.1 开标时间和地点</w:t>
      </w:r>
    </w:p>
    <w:p w14:paraId="46514BF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须知前附表。邀请所有</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的法定代表人或其委托代理人准时参加。</w:t>
      </w:r>
    </w:p>
    <w:p w14:paraId="37274FD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5.2 开标程序</w:t>
      </w:r>
    </w:p>
    <w:p w14:paraId="652D8B43">
      <w:pPr>
        <w:spacing w:line="360" w:lineRule="auto"/>
        <w:ind w:firstLine="420" w:firstLineChars="200"/>
        <w:outlineLvl w:val="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5AA60C8">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6．评审</w:t>
      </w:r>
    </w:p>
    <w:p w14:paraId="1F9751B2">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6.1 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w:t>
      </w:r>
    </w:p>
    <w:p w14:paraId="5D4A391A">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4CD25C8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6.1.2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委员会成员有下列情形之一的，应当回避：</w:t>
      </w:r>
    </w:p>
    <w:p w14:paraId="505F568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的主要负责人的近亲属；</w:t>
      </w:r>
    </w:p>
    <w:p w14:paraId="2F88E822">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(2)项目主管部门或者行政监督部门的人员：</w:t>
      </w:r>
    </w:p>
    <w:p w14:paraId="38E3EEB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有经济利益关系，可能影响对</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公正评审的；</w:t>
      </w:r>
    </w:p>
    <w:p w14:paraId="5C015C5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(4)曾因在</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、评审以及其他与</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有关活动中从事违法行为而受过行政处罚或刑事处罚的。</w:t>
      </w:r>
    </w:p>
    <w:p w14:paraId="1A53D875">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6.2 评审原则</w:t>
      </w:r>
    </w:p>
    <w:p w14:paraId="6172FCC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评审活动遵循公平、公正、科学和择优的原则。</w:t>
      </w:r>
    </w:p>
    <w:p w14:paraId="016A1D46">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6.3 评审</w:t>
      </w:r>
    </w:p>
    <w:p w14:paraId="74CBED39">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委员会按照第三章“评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办法”规定的方法、评审因素、标准和程序对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进行评审。第三章“评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办法”没有规定的方法、评审因素和标准，不作为评审依据。</w:t>
      </w:r>
    </w:p>
    <w:p w14:paraId="4FFB6331">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7．合同授予</w:t>
      </w:r>
    </w:p>
    <w:p w14:paraId="74E0D41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7.1 定标方式</w:t>
      </w:r>
    </w:p>
    <w:p w14:paraId="602A26F5">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依据评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委员会推荐</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候选人的人数见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2F26B92F">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 xml:space="preserve">7.2 </w:t>
      </w:r>
      <w:r>
        <w:rPr>
          <w:rFonts w:hint="eastAsia" w:ascii="Times New Roman" w:hAnsi="Times New Roman" w:cs="Times New Roman"/>
          <w:b/>
          <w:color w:val="000000"/>
          <w:szCs w:val="21"/>
          <w:highlight w:val="none"/>
        </w:rPr>
        <w:t>中选</w:t>
      </w:r>
      <w:r>
        <w:rPr>
          <w:rFonts w:ascii="Times New Roman" w:hAnsi="Times New Roman" w:cs="Times New Roman"/>
          <w:b/>
          <w:color w:val="000000"/>
          <w:szCs w:val="21"/>
          <w:highlight w:val="none"/>
        </w:rPr>
        <w:t>通知</w:t>
      </w:r>
    </w:p>
    <w:p w14:paraId="5523C0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须知前附表。同时将</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结果通知未</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w:t>
      </w:r>
    </w:p>
    <w:p w14:paraId="703EC6AD">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7.3 履约担保</w:t>
      </w:r>
    </w:p>
    <w:p w14:paraId="44078556">
      <w:pPr>
        <w:spacing w:line="360" w:lineRule="auto"/>
        <w:ind w:firstLine="420" w:firstLineChars="200"/>
        <w:rPr>
          <w:rFonts w:ascii="Times New Roman" w:hAnsi="Times New Roman" w:cs="Times New Roman"/>
          <w:b/>
          <w:color w:val="000000"/>
          <w:szCs w:val="21"/>
          <w:highlight w:val="none"/>
        </w:rPr>
      </w:pPr>
      <w:r>
        <w:rPr>
          <w:rFonts w:ascii="Times New Roman" w:hAnsi="Times New Roman" w:cs="Times New Roman"/>
          <w:color w:val="000000"/>
          <w:szCs w:val="21"/>
          <w:highlight w:val="none"/>
        </w:rPr>
        <w:t>见</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w:t>
      </w:r>
    </w:p>
    <w:p w14:paraId="1D0DA57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7.4 签订合同</w:t>
      </w:r>
    </w:p>
    <w:p w14:paraId="1CDC1F5C">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szCs w:val="21"/>
          <w:highlight w:val="none"/>
        </w:rPr>
        <w:t>中选</w:t>
      </w:r>
      <w:r>
        <w:rPr>
          <w:rFonts w:ascii="Times New Roman" w:hAnsi="Times New Roman" w:cs="Times New Roman"/>
          <w:szCs w:val="21"/>
          <w:highlight w:val="none"/>
        </w:rPr>
        <w:t>人自</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通知书发出之日起30日内</w:t>
      </w:r>
      <w:r>
        <w:rPr>
          <w:rFonts w:ascii="Times New Roman" w:hAnsi="Times New Roman" w:cs="Times New Roman"/>
          <w:color w:val="000000"/>
          <w:szCs w:val="21"/>
          <w:highlight w:val="none"/>
        </w:rPr>
        <w:t>，根据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订立书面合同。</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人无正当理由拒签合同的，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取消其</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资格，给</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造成损失的，</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人应当予以赔偿。</w:t>
      </w:r>
    </w:p>
    <w:p w14:paraId="65637874">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8．重新</w:t>
      </w:r>
      <w:r>
        <w:rPr>
          <w:rFonts w:hint="eastAsia" w:ascii="Times New Roman" w:hAnsi="Times New Roman" w:cs="Times New Roman"/>
          <w:b/>
          <w:color w:val="000000"/>
          <w:szCs w:val="21"/>
          <w:highlight w:val="none"/>
        </w:rPr>
        <w:t>比选</w:t>
      </w:r>
      <w:r>
        <w:rPr>
          <w:rFonts w:ascii="Times New Roman" w:hAnsi="Times New Roman" w:cs="Times New Roman"/>
          <w:b/>
          <w:color w:val="000000"/>
          <w:szCs w:val="21"/>
          <w:highlight w:val="none"/>
        </w:rPr>
        <w:t>和不再</w:t>
      </w:r>
      <w:r>
        <w:rPr>
          <w:rFonts w:hint="eastAsia" w:ascii="Times New Roman" w:hAnsi="Times New Roman" w:cs="Times New Roman"/>
          <w:b/>
          <w:color w:val="000000"/>
          <w:szCs w:val="21"/>
          <w:highlight w:val="none"/>
        </w:rPr>
        <w:t>比选</w:t>
      </w:r>
    </w:p>
    <w:p w14:paraId="7B467824">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8.1 重新</w:t>
      </w:r>
      <w:r>
        <w:rPr>
          <w:rFonts w:hint="eastAsia" w:ascii="Times New Roman" w:hAnsi="Times New Roman" w:cs="Times New Roman"/>
          <w:b/>
          <w:color w:val="000000"/>
          <w:szCs w:val="21"/>
          <w:highlight w:val="none"/>
        </w:rPr>
        <w:t>比选</w:t>
      </w:r>
    </w:p>
    <w:p w14:paraId="136837C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有下列情形之一的，</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将重新</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p>
    <w:p w14:paraId="2682A412">
      <w:pPr>
        <w:spacing w:line="360" w:lineRule="auto"/>
        <w:ind w:firstLine="359" w:firstLineChars="171"/>
        <w:rPr>
          <w:rFonts w:ascii="Times New Roman" w:hAnsi="Times New Roman" w:cs="Times New Roman"/>
          <w:color w:val="000000"/>
          <w:szCs w:val="21"/>
          <w:highlight w:val="none"/>
        </w:rPr>
      </w:pPr>
      <w:r>
        <w:rPr>
          <w:rFonts w:ascii="Times New Roman" w:hAnsi="Times New Roman" w:cs="Times New Roman"/>
          <w:color w:val="000000"/>
          <w:szCs w:val="21"/>
          <w:highlight w:val="none"/>
        </w:rPr>
        <w:t>（1）</w:t>
      </w:r>
      <w:r>
        <w:rPr>
          <w:rFonts w:hint="eastAsia" w:ascii="Times New Roman" w:hAnsi="Times New Roman" w:cs="Times New Roman"/>
          <w:color w:val="000000"/>
          <w:szCs w:val="21"/>
          <w:highlight w:val="none"/>
        </w:rPr>
        <w:t>至</w:t>
      </w:r>
      <w:r>
        <w:rPr>
          <w:rFonts w:hint="eastAsia" w:ascii="Times New Roman" w:hAnsi="Times New Roman" w:cs="Times New Roman"/>
          <w:kern w:val="0"/>
          <w:szCs w:val="21"/>
          <w:highlight w:val="none"/>
        </w:rPr>
        <w:t>比选申请文件</w:t>
      </w:r>
      <w:r>
        <w:rPr>
          <w:rFonts w:ascii="Times New Roman" w:hAnsi="Times New Roman" w:cs="Times New Roman"/>
          <w:kern w:val="0"/>
          <w:szCs w:val="21"/>
          <w:highlight w:val="none"/>
        </w:rPr>
        <w:t>递交截止时间</w:t>
      </w:r>
      <w:r>
        <w:rPr>
          <w:rFonts w:ascii="Times New Roman" w:hAnsi="Times New Roman" w:cs="Times New Roman"/>
          <w:color w:val="000000"/>
          <w:szCs w:val="21"/>
          <w:highlight w:val="none"/>
        </w:rPr>
        <w:t>止，</w:t>
      </w:r>
      <w:r>
        <w:rPr>
          <w:rFonts w:hint="eastAsia" w:ascii="宋体" w:hAnsi="宋体"/>
          <w:kern w:val="0"/>
          <w:szCs w:val="21"/>
          <w:highlight w:val="none"/>
        </w:rPr>
        <w:t>递交比选申请文件的比选申请人少于三个的</w:t>
      </w:r>
      <w:r>
        <w:rPr>
          <w:rFonts w:ascii="Times New Roman" w:hAnsi="Times New Roman" w:cs="Times New Roman"/>
          <w:color w:val="000000"/>
          <w:szCs w:val="21"/>
          <w:highlight w:val="none"/>
        </w:rPr>
        <w:t>；</w:t>
      </w:r>
    </w:p>
    <w:p w14:paraId="3724965B">
      <w:pPr>
        <w:spacing w:line="360" w:lineRule="auto"/>
        <w:ind w:firstLine="359" w:firstLineChars="171"/>
        <w:rPr>
          <w:rFonts w:ascii="宋体" w:hAnsi="宋体"/>
          <w:kern w:val="0"/>
          <w:szCs w:val="21"/>
          <w:highlight w:val="none"/>
        </w:rPr>
      </w:pPr>
      <w:r>
        <w:rPr>
          <w:rFonts w:ascii="Times New Roman" w:hAnsi="Times New Roman" w:cs="Times New Roman"/>
          <w:color w:val="000000"/>
          <w:szCs w:val="21"/>
          <w:highlight w:val="none"/>
        </w:rPr>
        <w:t>（2）经评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委员会评审后否</w:t>
      </w:r>
      <w:r>
        <w:rPr>
          <w:rFonts w:hint="eastAsia" w:ascii="宋体" w:hAnsi="宋体"/>
          <w:kern w:val="0"/>
          <w:szCs w:val="21"/>
          <w:highlight w:val="none"/>
        </w:rPr>
        <w:t>决所有比选申请的；</w:t>
      </w:r>
    </w:p>
    <w:p w14:paraId="2D592A74">
      <w:pPr>
        <w:spacing w:line="360" w:lineRule="auto"/>
        <w:ind w:firstLine="359" w:firstLineChars="171"/>
        <w:rPr>
          <w:rFonts w:ascii="宋体" w:hAnsi="宋体"/>
          <w:kern w:val="0"/>
          <w:szCs w:val="21"/>
          <w:highlight w:val="none"/>
        </w:rPr>
      </w:pPr>
      <w:r>
        <w:rPr>
          <w:rFonts w:hint="eastAsia" w:ascii="宋体" w:hAnsi="宋体"/>
          <w:kern w:val="0"/>
          <w:szCs w:val="21"/>
          <w:highlight w:val="none"/>
        </w:rPr>
        <w:t>（3）评</w:t>
      </w:r>
      <w:r>
        <w:rPr>
          <w:rFonts w:hint="eastAsia" w:ascii="宋体" w:hAnsi="宋体"/>
          <w:kern w:val="0"/>
          <w:szCs w:val="21"/>
          <w:highlight w:val="none"/>
          <w:lang w:val="en-US" w:eastAsia="zh-CN"/>
        </w:rPr>
        <w:t>审</w:t>
      </w:r>
      <w:r>
        <w:rPr>
          <w:rFonts w:hint="eastAsia" w:ascii="宋体" w:hAnsi="宋体"/>
          <w:kern w:val="0"/>
          <w:szCs w:val="21"/>
          <w:highlight w:val="none"/>
        </w:rPr>
        <w:t>委员会推荐的中选候选人均未能与比选人签订合同协议书的；</w:t>
      </w:r>
    </w:p>
    <w:p w14:paraId="39866CF5">
      <w:pPr>
        <w:spacing w:line="360" w:lineRule="auto"/>
        <w:ind w:firstLine="359" w:firstLineChars="171"/>
        <w:rPr>
          <w:rFonts w:ascii="宋体" w:hAnsi="宋体"/>
          <w:kern w:val="0"/>
          <w:szCs w:val="21"/>
          <w:highlight w:val="none"/>
        </w:rPr>
      </w:pPr>
      <w:r>
        <w:rPr>
          <w:rFonts w:hint="eastAsia" w:ascii="宋体" w:hAnsi="宋体"/>
          <w:kern w:val="0"/>
          <w:szCs w:val="21"/>
          <w:highlight w:val="none"/>
        </w:rPr>
        <w:t>（4）法律规定的其他情形。</w:t>
      </w:r>
    </w:p>
    <w:p w14:paraId="55B9C76E">
      <w:pPr>
        <w:spacing w:line="360" w:lineRule="auto"/>
        <w:outlineLvl w:val="0"/>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9．纪律和监督</w:t>
      </w:r>
    </w:p>
    <w:p w14:paraId="6B613543">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9.1 对</w:t>
      </w:r>
      <w:r>
        <w:rPr>
          <w:rFonts w:hint="eastAsia" w:ascii="Times New Roman" w:hAnsi="Times New Roman" w:cs="Times New Roman"/>
          <w:b/>
          <w:color w:val="000000"/>
          <w:szCs w:val="21"/>
          <w:highlight w:val="none"/>
        </w:rPr>
        <w:t>比选人</w:t>
      </w:r>
      <w:r>
        <w:rPr>
          <w:rFonts w:ascii="Times New Roman" w:hAnsi="Times New Roman" w:cs="Times New Roman"/>
          <w:b/>
          <w:color w:val="000000"/>
          <w:szCs w:val="21"/>
          <w:highlight w:val="none"/>
        </w:rPr>
        <w:t>的纪律要求</w:t>
      </w:r>
    </w:p>
    <w:p w14:paraId="23097219">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不得</w:t>
      </w:r>
      <w:r>
        <w:rPr>
          <w:rFonts w:hint="eastAsia" w:ascii="Times New Roman" w:hAnsi="Times New Roman" w:cs="Times New Roman"/>
          <w:color w:val="000000"/>
          <w:szCs w:val="21"/>
          <w:highlight w:val="none"/>
          <w:lang w:eastAsia="zh-CN"/>
        </w:rPr>
        <w:t>泄露</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活动中应当保密的情况和资料，不得与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串通损害国家利益、社会公共利益或者他人合法权益。</w:t>
      </w:r>
    </w:p>
    <w:p w14:paraId="68C8501E">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9.2 对</w:t>
      </w:r>
      <w:r>
        <w:rPr>
          <w:rFonts w:hint="eastAsia" w:ascii="Times New Roman" w:hAnsi="Times New Roman" w:cs="Times New Roman"/>
          <w:b/>
          <w:color w:val="000000"/>
          <w:szCs w:val="21"/>
          <w:highlight w:val="none"/>
        </w:rPr>
        <w:t>比选申请人</w:t>
      </w:r>
      <w:r>
        <w:rPr>
          <w:rFonts w:ascii="Times New Roman" w:hAnsi="Times New Roman" w:cs="Times New Roman"/>
          <w:b/>
          <w:color w:val="000000"/>
          <w:szCs w:val="21"/>
          <w:highlight w:val="none"/>
        </w:rPr>
        <w:t>的纪律要求</w:t>
      </w:r>
    </w:p>
    <w:p w14:paraId="6A0B0C71">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不得相互串通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或者与</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，不得向</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或者评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委员会成员行贿谋取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，不得以他人名义</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或者以其他方式弄虚作假骗取</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不得以任何方式干扰、影响评审工作。</w:t>
      </w:r>
    </w:p>
    <w:p w14:paraId="27348859">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9.3 对评</w:t>
      </w:r>
      <w:r>
        <w:rPr>
          <w:rFonts w:hint="eastAsia" w:ascii="Times New Roman" w:hAnsi="Times New Roman" w:cs="Times New Roman"/>
          <w:b/>
          <w:color w:val="000000"/>
          <w:szCs w:val="21"/>
          <w:highlight w:val="none"/>
          <w:lang w:val="en-US" w:eastAsia="zh-CN"/>
        </w:rPr>
        <w:t>审</w:t>
      </w:r>
      <w:r>
        <w:rPr>
          <w:rFonts w:ascii="Times New Roman" w:hAnsi="Times New Roman" w:cs="Times New Roman"/>
          <w:b/>
          <w:color w:val="000000"/>
          <w:szCs w:val="21"/>
          <w:highlight w:val="none"/>
        </w:rPr>
        <w:t>委员会成员的纪律要求</w:t>
      </w:r>
    </w:p>
    <w:p w14:paraId="6718910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委员会成员不得擅离职守，影响评审程序正常进行，不得使用第三章“评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办法”没有规定的评审因素和标准进行评审。</w:t>
      </w:r>
    </w:p>
    <w:p w14:paraId="54A779C0">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9.4 对与评审活动有关的工作人员的纪律要求</w:t>
      </w:r>
    </w:p>
    <w:p w14:paraId="52DDE08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与评审活动有关的工作人员不得收受他人的财物或者其他好处，不得向他人</w:t>
      </w:r>
      <w:r>
        <w:rPr>
          <w:rFonts w:hint="eastAsia" w:ascii="Times New Roman" w:hAnsi="Times New Roman" w:cs="Times New Roman"/>
          <w:color w:val="000000"/>
          <w:szCs w:val="21"/>
          <w:highlight w:val="none"/>
          <w:lang w:eastAsia="zh-CN"/>
        </w:rPr>
        <w:t>透露</w:t>
      </w:r>
      <w:r>
        <w:rPr>
          <w:rFonts w:ascii="Times New Roman" w:hAnsi="Times New Roman" w:cs="Times New Roman"/>
          <w:color w:val="000000"/>
          <w:szCs w:val="21"/>
          <w:highlight w:val="none"/>
        </w:rPr>
        <w:t>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的评审和比较、</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候选人的推荐情况以及评审有关的其他情况。在评审活动中，与评审活动有关的工作人员不得擅离职守，影响评审程序正常进行。</w:t>
      </w:r>
    </w:p>
    <w:p w14:paraId="05AB9E3B">
      <w:pPr>
        <w:spacing w:line="360" w:lineRule="auto"/>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9.5 投诉</w:t>
      </w:r>
    </w:p>
    <w:p w14:paraId="5431787D">
      <w:pPr>
        <w:spacing w:before="0" w:after="0" w:line="360" w:lineRule="auto"/>
        <w:ind w:firstLine="420" w:firstLineChars="200"/>
        <w:jc w:val="lef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和其他利害关系人认为本次</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活动违反</w:t>
      </w:r>
      <w:r>
        <w:rPr>
          <w:rFonts w:hint="eastAsia" w:ascii="Times New Roman" w:hAnsi="Times New Roman" w:cs="Times New Roman"/>
          <w:color w:val="000000"/>
          <w:szCs w:val="21"/>
          <w:highlight w:val="none"/>
          <w:lang w:eastAsia="zh-CN"/>
        </w:rPr>
        <w:t>法律法规</w:t>
      </w:r>
      <w:r>
        <w:rPr>
          <w:rFonts w:ascii="Times New Roman" w:hAnsi="Times New Roman" w:cs="Times New Roman"/>
          <w:color w:val="000000"/>
          <w:szCs w:val="21"/>
          <w:highlight w:val="none"/>
        </w:rPr>
        <w:t>和规章规定的，有权向有关行政监督部门投诉。</w:t>
      </w:r>
    </w:p>
    <w:p w14:paraId="654FFB27">
      <w:pPr>
        <w:pStyle w:val="14"/>
        <w:rPr>
          <w:rFonts w:ascii="Times New Roman" w:hAnsi="Times New Roman" w:cs="Times New Roman"/>
          <w:color w:val="000000"/>
          <w:szCs w:val="21"/>
          <w:highlight w:val="none"/>
        </w:rPr>
      </w:pPr>
    </w:p>
    <w:p w14:paraId="669A1CB8">
      <w:pPr>
        <w:rPr>
          <w:rFonts w:ascii="Times New Roman" w:hAnsi="Times New Roman" w:cs="Times New Roman"/>
          <w:color w:val="000000"/>
          <w:szCs w:val="21"/>
          <w:highlight w:val="none"/>
        </w:rPr>
      </w:pPr>
    </w:p>
    <w:p w14:paraId="50D3A551">
      <w:pPr>
        <w:pStyle w:val="14"/>
        <w:rPr>
          <w:rFonts w:ascii="Times New Roman" w:hAnsi="Times New Roman" w:cs="Times New Roman"/>
          <w:color w:val="000000"/>
          <w:szCs w:val="21"/>
          <w:highlight w:val="none"/>
        </w:rPr>
      </w:pPr>
    </w:p>
    <w:p w14:paraId="7C23B57C">
      <w:pPr>
        <w:rPr>
          <w:rFonts w:ascii="Times New Roman" w:hAnsi="Times New Roman" w:cs="Times New Roman"/>
          <w:color w:val="000000"/>
          <w:szCs w:val="21"/>
          <w:highlight w:val="none"/>
        </w:rPr>
      </w:pPr>
    </w:p>
    <w:p w14:paraId="6580B488">
      <w:pPr>
        <w:pStyle w:val="14"/>
        <w:rPr>
          <w:rFonts w:ascii="Times New Roman" w:hAnsi="Times New Roman" w:cs="Times New Roman"/>
          <w:color w:val="000000"/>
          <w:szCs w:val="21"/>
          <w:highlight w:val="none"/>
        </w:rPr>
      </w:pPr>
    </w:p>
    <w:p w14:paraId="01885E6C">
      <w:pPr>
        <w:rPr>
          <w:rFonts w:ascii="Times New Roman" w:hAnsi="Times New Roman" w:cs="Times New Roman"/>
          <w:color w:val="000000"/>
          <w:szCs w:val="21"/>
          <w:highlight w:val="none"/>
        </w:rPr>
      </w:pPr>
    </w:p>
    <w:p w14:paraId="6B074ABE">
      <w:pPr>
        <w:pStyle w:val="14"/>
        <w:rPr>
          <w:rFonts w:ascii="Times New Roman" w:hAnsi="Times New Roman" w:cs="Times New Roman"/>
          <w:color w:val="000000"/>
          <w:szCs w:val="21"/>
          <w:highlight w:val="none"/>
        </w:rPr>
      </w:pPr>
    </w:p>
    <w:p w14:paraId="0D78C1FB">
      <w:pPr>
        <w:rPr>
          <w:rFonts w:ascii="Times New Roman" w:hAnsi="Times New Roman" w:cs="Times New Roman"/>
          <w:color w:val="000000"/>
          <w:szCs w:val="21"/>
          <w:highlight w:val="none"/>
        </w:rPr>
      </w:pPr>
    </w:p>
    <w:p w14:paraId="07BF5B03">
      <w:pPr>
        <w:pStyle w:val="14"/>
        <w:rPr>
          <w:rFonts w:ascii="Times New Roman" w:hAnsi="Times New Roman" w:cs="Times New Roman"/>
          <w:color w:val="000000"/>
          <w:szCs w:val="21"/>
          <w:highlight w:val="none"/>
        </w:rPr>
      </w:pPr>
    </w:p>
    <w:p w14:paraId="1183C54C">
      <w:pPr>
        <w:rPr>
          <w:rFonts w:ascii="Times New Roman" w:hAnsi="Times New Roman" w:cs="Times New Roman"/>
          <w:color w:val="000000"/>
          <w:szCs w:val="21"/>
          <w:highlight w:val="none"/>
        </w:rPr>
      </w:pPr>
    </w:p>
    <w:p w14:paraId="7A387B00">
      <w:pPr>
        <w:pStyle w:val="14"/>
        <w:rPr>
          <w:rFonts w:ascii="Times New Roman" w:hAnsi="Times New Roman" w:cs="Times New Roman"/>
          <w:color w:val="000000"/>
          <w:szCs w:val="21"/>
          <w:highlight w:val="none"/>
        </w:rPr>
      </w:pPr>
    </w:p>
    <w:p w14:paraId="48597B21">
      <w:pPr>
        <w:rPr>
          <w:rFonts w:ascii="Times New Roman" w:hAnsi="Times New Roman" w:cs="Times New Roman"/>
          <w:color w:val="000000"/>
          <w:szCs w:val="21"/>
          <w:highlight w:val="none"/>
        </w:rPr>
      </w:pPr>
    </w:p>
    <w:p w14:paraId="01385D76">
      <w:pPr>
        <w:pStyle w:val="14"/>
        <w:rPr>
          <w:rFonts w:ascii="Times New Roman" w:hAnsi="Times New Roman" w:cs="Times New Roman"/>
          <w:color w:val="000000"/>
          <w:szCs w:val="21"/>
          <w:highlight w:val="none"/>
        </w:rPr>
      </w:pPr>
    </w:p>
    <w:p w14:paraId="593CAFB4">
      <w:pPr>
        <w:rPr>
          <w:rFonts w:ascii="Times New Roman" w:hAnsi="Times New Roman" w:cs="Times New Roman"/>
          <w:color w:val="000000"/>
          <w:szCs w:val="21"/>
          <w:highlight w:val="none"/>
        </w:rPr>
      </w:pPr>
    </w:p>
    <w:p w14:paraId="0E56A71C">
      <w:pPr>
        <w:pStyle w:val="14"/>
        <w:rPr>
          <w:rFonts w:ascii="Times New Roman" w:hAnsi="Times New Roman" w:cs="Times New Roman"/>
          <w:color w:val="000000"/>
          <w:szCs w:val="21"/>
          <w:highlight w:val="none"/>
        </w:rPr>
      </w:pPr>
    </w:p>
    <w:p w14:paraId="3B3A2A9E">
      <w:pPr>
        <w:rPr>
          <w:rFonts w:ascii="Times New Roman" w:hAnsi="Times New Roman" w:cs="Times New Roman"/>
          <w:color w:val="000000"/>
          <w:szCs w:val="21"/>
          <w:highlight w:val="none"/>
        </w:rPr>
      </w:pPr>
    </w:p>
    <w:p w14:paraId="4EE86855">
      <w:pPr>
        <w:pStyle w:val="14"/>
        <w:rPr>
          <w:rFonts w:ascii="Times New Roman" w:hAnsi="Times New Roman" w:cs="Times New Roman"/>
          <w:color w:val="000000"/>
          <w:szCs w:val="21"/>
          <w:highlight w:val="none"/>
        </w:rPr>
      </w:pPr>
    </w:p>
    <w:p w14:paraId="12EF82C5">
      <w:pPr>
        <w:rPr>
          <w:rFonts w:ascii="Times New Roman" w:hAnsi="Times New Roman" w:cs="Times New Roman"/>
          <w:color w:val="000000"/>
          <w:szCs w:val="21"/>
          <w:highlight w:val="none"/>
        </w:rPr>
      </w:pPr>
    </w:p>
    <w:p w14:paraId="0DB62073">
      <w:pPr>
        <w:pStyle w:val="14"/>
        <w:rPr>
          <w:rFonts w:ascii="Times New Roman" w:hAnsi="Times New Roman" w:cs="Times New Roman"/>
          <w:color w:val="000000"/>
          <w:szCs w:val="21"/>
          <w:highlight w:val="none"/>
        </w:rPr>
      </w:pPr>
    </w:p>
    <w:p w14:paraId="7CDB8015"/>
    <w:p w14:paraId="21F58908">
      <w:pPr>
        <w:pStyle w:val="8"/>
      </w:pPr>
    </w:p>
    <w:p w14:paraId="1486B1F5"/>
    <w:p w14:paraId="52ECA13D">
      <w:pPr>
        <w:numPr>
          <w:ilvl w:val="0"/>
          <w:numId w:val="5"/>
        </w:numPr>
        <w:spacing w:before="340" w:after="330" w:line="240" w:lineRule="atLeast"/>
        <w:ind w:firstLine="0" w:firstLineChars="0"/>
        <w:jc w:val="center"/>
        <w:rPr>
          <w:rFonts w:ascii="Times New Roman" w:hAnsi="Times New Roman" w:cs="Times New Roman"/>
          <w:b/>
          <w:bCs/>
          <w:color w:val="000000"/>
          <w:kern w:val="44"/>
          <w:sz w:val="36"/>
          <w:szCs w:val="36"/>
          <w:highlight w:val="none"/>
        </w:rPr>
      </w:pPr>
      <w:r>
        <w:rPr>
          <w:rFonts w:ascii="Times New Roman" w:hAnsi="Times New Roman" w:cs="Times New Roman"/>
          <w:b/>
          <w:bCs/>
          <w:color w:val="000000"/>
          <w:kern w:val="44"/>
          <w:sz w:val="36"/>
          <w:szCs w:val="36"/>
          <w:highlight w:val="none"/>
        </w:rPr>
        <w:t xml:space="preserve"> 评</w:t>
      </w:r>
      <w:r>
        <w:rPr>
          <w:rFonts w:hint="eastAsia" w:ascii="Times New Roman" w:hAnsi="Times New Roman" w:cs="Times New Roman"/>
          <w:b/>
          <w:bCs/>
          <w:color w:val="000000"/>
          <w:kern w:val="44"/>
          <w:sz w:val="36"/>
          <w:szCs w:val="36"/>
          <w:highlight w:val="none"/>
          <w:lang w:val="en-US" w:eastAsia="zh-CN"/>
        </w:rPr>
        <w:t>审</w:t>
      </w:r>
      <w:r>
        <w:rPr>
          <w:rFonts w:ascii="Times New Roman" w:hAnsi="Times New Roman" w:cs="Times New Roman"/>
          <w:b/>
          <w:bCs/>
          <w:color w:val="000000"/>
          <w:kern w:val="44"/>
          <w:sz w:val="36"/>
          <w:szCs w:val="36"/>
          <w:highlight w:val="none"/>
        </w:rPr>
        <w:t>办法（综合评分法）</w:t>
      </w:r>
    </w:p>
    <w:p w14:paraId="509B79FF">
      <w:pPr>
        <w:spacing w:before="0" w:after="0"/>
        <w:jc w:val="center"/>
        <w:rPr>
          <w:rFonts w:hint="eastAsia" w:ascii="黑体" w:hAnsi="黑体" w:eastAsia="黑体" w:cs="黑体"/>
          <w:b/>
          <w:bCs/>
          <w:color w:val="000000"/>
          <w:sz w:val="28"/>
          <w:szCs w:val="28"/>
          <w:highlight w:val="none"/>
        </w:rPr>
      </w:pPr>
      <w:r>
        <w:rPr>
          <w:rFonts w:hint="eastAsia" w:ascii="黑体" w:hAnsi="黑体" w:eastAsia="黑体" w:cs="黑体"/>
          <w:b/>
          <w:bCs/>
          <w:kern w:val="44"/>
          <w:sz w:val="28"/>
          <w:szCs w:val="28"/>
          <w:highlight w:val="none"/>
        </w:rPr>
        <w:t>评</w:t>
      </w:r>
      <w:r>
        <w:rPr>
          <w:rFonts w:hint="eastAsia" w:ascii="黑体" w:hAnsi="黑体" w:eastAsia="黑体" w:cs="黑体"/>
          <w:b/>
          <w:bCs/>
          <w:kern w:val="44"/>
          <w:sz w:val="28"/>
          <w:szCs w:val="28"/>
          <w:highlight w:val="none"/>
          <w:lang w:val="en-US" w:eastAsia="zh-CN"/>
        </w:rPr>
        <w:t>审</w:t>
      </w:r>
      <w:r>
        <w:rPr>
          <w:rFonts w:hint="eastAsia" w:ascii="黑体" w:hAnsi="黑体" w:eastAsia="黑体" w:cs="黑体"/>
          <w:b/>
          <w:bCs/>
          <w:kern w:val="44"/>
          <w:sz w:val="28"/>
          <w:szCs w:val="28"/>
          <w:highlight w:val="none"/>
        </w:rPr>
        <w:t>办法前附表</w:t>
      </w:r>
    </w:p>
    <w:tbl>
      <w:tblPr>
        <w:tblStyle w:val="15"/>
        <w:tblW w:w="9848" w:type="dxa"/>
        <w:jc w:val="center"/>
        <w:tblLayout w:type="autofit"/>
        <w:tblCellMar>
          <w:top w:w="0" w:type="dxa"/>
          <w:left w:w="108" w:type="dxa"/>
          <w:bottom w:w="0" w:type="dxa"/>
          <w:right w:w="108" w:type="dxa"/>
        </w:tblCellMar>
      </w:tblPr>
      <w:tblGrid>
        <w:gridCol w:w="851"/>
        <w:gridCol w:w="1693"/>
        <w:gridCol w:w="1923"/>
        <w:gridCol w:w="5361"/>
        <w:gridCol w:w="11"/>
        <w:gridCol w:w="9"/>
      </w:tblGrid>
      <w:tr w14:paraId="3836771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0278480A">
            <w:pPr>
              <w:pStyle w:val="24"/>
              <w:spacing w:line="360" w:lineRule="auto"/>
              <w:ind w:firstLine="0"/>
              <w:jc w:val="center"/>
              <w:rPr>
                <w:b/>
                <w:bCs/>
                <w:color w:val="000000"/>
                <w:highlight w:val="none"/>
              </w:rPr>
            </w:pPr>
            <w:r>
              <w:rPr>
                <w:b/>
                <w:bCs/>
                <w:color w:val="000000"/>
                <w:highlight w:val="none"/>
              </w:rPr>
              <w:t>条款号</w:t>
            </w:r>
          </w:p>
        </w:tc>
        <w:tc>
          <w:tcPr>
            <w:tcW w:w="1923" w:type="dxa"/>
            <w:tcBorders>
              <w:top w:val="single" w:color="000000" w:sz="4" w:space="0"/>
              <w:left w:val="nil"/>
              <w:bottom w:val="single" w:color="000000" w:sz="4" w:space="0"/>
              <w:right w:val="single" w:color="000000" w:sz="4" w:space="0"/>
            </w:tcBorders>
            <w:vAlign w:val="center"/>
          </w:tcPr>
          <w:p w14:paraId="1A5B86A3">
            <w:pPr>
              <w:pStyle w:val="24"/>
              <w:spacing w:line="360" w:lineRule="auto"/>
              <w:ind w:firstLine="0"/>
              <w:jc w:val="center"/>
              <w:rPr>
                <w:b/>
                <w:bCs/>
                <w:color w:val="000000"/>
                <w:highlight w:val="none"/>
              </w:rPr>
            </w:pPr>
            <w:r>
              <w:rPr>
                <w:b/>
                <w:bCs/>
                <w:color w:val="000000"/>
                <w:highlight w:val="none"/>
              </w:rPr>
              <w:t>评审因素</w:t>
            </w:r>
          </w:p>
        </w:tc>
        <w:tc>
          <w:tcPr>
            <w:tcW w:w="5372" w:type="dxa"/>
            <w:gridSpan w:val="2"/>
            <w:tcBorders>
              <w:top w:val="single" w:color="000000" w:sz="4" w:space="0"/>
              <w:left w:val="nil"/>
              <w:bottom w:val="single" w:color="000000" w:sz="4" w:space="0"/>
              <w:right w:val="single" w:color="000000" w:sz="4" w:space="0"/>
            </w:tcBorders>
            <w:vAlign w:val="center"/>
          </w:tcPr>
          <w:p w14:paraId="7BB454BD">
            <w:pPr>
              <w:pStyle w:val="24"/>
              <w:spacing w:line="360" w:lineRule="auto"/>
              <w:ind w:firstLine="0"/>
              <w:jc w:val="center"/>
              <w:rPr>
                <w:b/>
                <w:bCs/>
                <w:color w:val="000000"/>
                <w:highlight w:val="none"/>
              </w:rPr>
            </w:pPr>
            <w:r>
              <w:rPr>
                <w:b/>
                <w:bCs/>
                <w:color w:val="000000"/>
                <w:highlight w:val="none"/>
              </w:rPr>
              <w:t>评审标准</w:t>
            </w:r>
          </w:p>
        </w:tc>
      </w:tr>
      <w:tr w14:paraId="70E67BD7">
        <w:tblPrEx>
          <w:tblCellMar>
            <w:top w:w="0" w:type="dxa"/>
            <w:left w:w="108" w:type="dxa"/>
            <w:bottom w:w="0" w:type="dxa"/>
            <w:right w:w="108" w:type="dxa"/>
          </w:tblCellMar>
        </w:tblPrEx>
        <w:trPr>
          <w:gridAfter w:val="1"/>
          <w:wAfter w:w="9" w:type="dxa"/>
          <w:trHeight w:val="499"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76F9BA1C">
            <w:pPr>
              <w:pStyle w:val="24"/>
              <w:spacing w:line="360" w:lineRule="auto"/>
              <w:ind w:firstLine="0"/>
              <w:jc w:val="center"/>
              <w:rPr>
                <w:b/>
                <w:bCs/>
                <w:color w:val="000000"/>
                <w:highlight w:val="none"/>
              </w:rPr>
            </w:pPr>
            <w:r>
              <w:rPr>
                <w:b/>
                <w:bCs/>
                <w:color w:val="000000"/>
                <w:highlight w:val="none"/>
              </w:rPr>
              <w:t>1</w:t>
            </w:r>
          </w:p>
        </w:tc>
        <w:tc>
          <w:tcPr>
            <w:tcW w:w="7295" w:type="dxa"/>
            <w:gridSpan w:val="3"/>
            <w:tcBorders>
              <w:top w:val="single" w:color="000000" w:sz="4" w:space="0"/>
              <w:left w:val="nil"/>
              <w:bottom w:val="single" w:color="000000" w:sz="4" w:space="0"/>
              <w:right w:val="single" w:color="000000" w:sz="4" w:space="0"/>
            </w:tcBorders>
            <w:vAlign w:val="center"/>
          </w:tcPr>
          <w:p w14:paraId="65F553DB">
            <w:pPr>
              <w:pStyle w:val="24"/>
              <w:spacing w:line="360" w:lineRule="auto"/>
              <w:ind w:firstLine="0"/>
              <w:jc w:val="center"/>
              <w:rPr>
                <w:b/>
                <w:bCs/>
                <w:color w:val="000000"/>
                <w:highlight w:val="none"/>
              </w:rPr>
            </w:pPr>
            <w:r>
              <w:rPr>
                <w:b/>
                <w:bCs/>
                <w:color w:val="000000"/>
                <w:highlight w:val="none"/>
              </w:rPr>
              <w:t>初步评审标准</w:t>
            </w:r>
          </w:p>
        </w:tc>
      </w:tr>
      <w:tr w14:paraId="4FD5F6B7">
        <w:tblPrEx>
          <w:tblCellMar>
            <w:top w:w="0" w:type="dxa"/>
            <w:left w:w="108" w:type="dxa"/>
            <w:bottom w:w="0" w:type="dxa"/>
            <w:right w:w="108" w:type="dxa"/>
          </w:tblCellMar>
        </w:tblPrEx>
        <w:trPr>
          <w:gridAfter w:val="1"/>
          <w:wAfter w:w="9" w:type="dxa"/>
          <w:trHeight w:val="393" w:hRule="atLeast"/>
          <w:jc w:val="center"/>
        </w:trPr>
        <w:tc>
          <w:tcPr>
            <w:tcW w:w="851" w:type="dxa"/>
            <w:vMerge w:val="restart"/>
            <w:tcBorders>
              <w:top w:val="nil"/>
              <w:left w:val="single" w:color="000000" w:sz="4" w:space="0"/>
              <w:right w:val="single" w:color="000000" w:sz="4" w:space="0"/>
            </w:tcBorders>
            <w:vAlign w:val="center"/>
          </w:tcPr>
          <w:p w14:paraId="4FB16221">
            <w:pPr>
              <w:pStyle w:val="24"/>
              <w:spacing w:line="360" w:lineRule="auto"/>
              <w:ind w:right="63" w:firstLine="0"/>
              <w:jc w:val="center"/>
              <w:rPr>
                <w:color w:val="000000"/>
                <w:highlight w:val="none"/>
              </w:rPr>
            </w:pPr>
            <w:r>
              <w:rPr>
                <w:color w:val="000000"/>
                <w:highlight w:val="none"/>
              </w:rPr>
              <w:t>1.1</w:t>
            </w:r>
          </w:p>
        </w:tc>
        <w:tc>
          <w:tcPr>
            <w:tcW w:w="1693" w:type="dxa"/>
            <w:vMerge w:val="restart"/>
            <w:tcBorders>
              <w:top w:val="nil"/>
              <w:left w:val="nil"/>
              <w:right w:val="single" w:color="000000" w:sz="4" w:space="0"/>
            </w:tcBorders>
            <w:vAlign w:val="center"/>
          </w:tcPr>
          <w:p w14:paraId="725C59FC">
            <w:pPr>
              <w:pStyle w:val="24"/>
              <w:spacing w:line="360" w:lineRule="auto"/>
              <w:ind w:firstLine="0"/>
              <w:jc w:val="center"/>
              <w:rPr>
                <w:color w:val="000000"/>
                <w:highlight w:val="none"/>
              </w:rPr>
            </w:pPr>
            <w:r>
              <w:rPr>
                <w:color w:val="000000"/>
                <w:highlight w:val="none"/>
              </w:rPr>
              <w:t>形式评审标准</w:t>
            </w:r>
          </w:p>
        </w:tc>
        <w:tc>
          <w:tcPr>
            <w:tcW w:w="1923" w:type="dxa"/>
            <w:tcBorders>
              <w:top w:val="single" w:color="000000" w:sz="4" w:space="0"/>
              <w:left w:val="nil"/>
              <w:bottom w:val="single" w:color="000000" w:sz="4" w:space="0"/>
              <w:right w:val="single" w:color="000000" w:sz="4" w:space="0"/>
            </w:tcBorders>
            <w:vAlign w:val="center"/>
          </w:tcPr>
          <w:p w14:paraId="276216E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w:t>
            </w:r>
          </w:p>
        </w:tc>
        <w:tc>
          <w:tcPr>
            <w:tcW w:w="5372" w:type="dxa"/>
            <w:gridSpan w:val="2"/>
            <w:tcBorders>
              <w:top w:val="single" w:color="000000" w:sz="4" w:space="0"/>
              <w:left w:val="nil"/>
              <w:bottom w:val="single" w:color="000000" w:sz="4" w:space="0"/>
              <w:right w:val="single" w:color="000000" w:sz="4" w:space="0"/>
            </w:tcBorders>
            <w:vAlign w:val="center"/>
          </w:tcPr>
          <w:p w14:paraId="5561E9FC">
            <w:pPr>
              <w:pStyle w:val="24"/>
              <w:spacing w:line="360" w:lineRule="auto"/>
              <w:ind w:firstLine="0"/>
              <w:rPr>
                <w:color w:val="000000"/>
                <w:highlight w:val="none"/>
              </w:rPr>
            </w:pPr>
            <w:r>
              <w:rPr>
                <w:color w:val="000000"/>
                <w:highlight w:val="none"/>
              </w:rPr>
              <w:t>与营业执照、资质证书、安全生产许可证一致。</w:t>
            </w:r>
          </w:p>
        </w:tc>
      </w:tr>
      <w:tr w14:paraId="039F1AF6">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AEF77D4">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A1B3741">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9501911">
            <w:pPr>
              <w:ind w:firstLine="0" w:firstLineChars="0"/>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lang w:val="en-US" w:eastAsia="zh-CN"/>
              </w:rPr>
              <w:t>递交备选比选申请方案</w:t>
            </w:r>
          </w:p>
        </w:tc>
        <w:tc>
          <w:tcPr>
            <w:tcW w:w="5381" w:type="dxa"/>
            <w:gridSpan w:val="3"/>
            <w:tcBorders>
              <w:top w:val="single" w:color="000000" w:sz="4" w:space="0"/>
              <w:left w:val="nil"/>
              <w:bottom w:val="single" w:color="000000" w:sz="4" w:space="0"/>
              <w:right w:val="single" w:color="000000" w:sz="4" w:space="0"/>
            </w:tcBorders>
            <w:vAlign w:val="center"/>
          </w:tcPr>
          <w:p w14:paraId="46294521">
            <w:pPr>
              <w:pStyle w:val="24"/>
              <w:spacing w:line="360" w:lineRule="auto"/>
              <w:ind w:firstLine="0" w:firstLineChars="0"/>
              <w:rPr>
                <w:rFonts w:ascii="Times New Roman" w:hAnsi="Times New Roman" w:eastAsia="宋体" w:cs="Times New Roman"/>
                <w:color w:val="000000"/>
                <w:kern w:val="0"/>
                <w:sz w:val="21"/>
                <w:szCs w:val="21"/>
                <w:highlight w:val="none"/>
                <w:lang w:val="en-US" w:eastAsia="zh-CN" w:bidi="ar-SA"/>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5</w:t>
            </w:r>
            <w:r>
              <w:rPr>
                <w:color w:val="000000"/>
                <w:highlight w:val="none"/>
              </w:rPr>
              <w:t>项规定</w:t>
            </w:r>
          </w:p>
        </w:tc>
      </w:tr>
      <w:tr w14:paraId="52FE0862">
        <w:tblPrEx>
          <w:tblCellMar>
            <w:top w:w="0" w:type="dxa"/>
            <w:left w:w="108" w:type="dxa"/>
            <w:bottom w:w="0" w:type="dxa"/>
            <w:right w:w="108" w:type="dxa"/>
          </w:tblCellMar>
        </w:tblPrEx>
        <w:trPr>
          <w:trHeight w:val="451" w:hRule="atLeast"/>
          <w:jc w:val="center"/>
        </w:trPr>
        <w:tc>
          <w:tcPr>
            <w:tcW w:w="851" w:type="dxa"/>
            <w:vMerge w:val="continue"/>
            <w:tcBorders>
              <w:left w:val="single" w:color="000000" w:sz="4" w:space="0"/>
              <w:right w:val="single" w:color="000000" w:sz="4" w:space="0"/>
            </w:tcBorders>
            <w:vAlign w:val="center"/>
          </w:tcPr>
          <w:p w14:paraId="65183742">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6945DFB4">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2CACC573">
            <w:pPr>
              <w:ind w:firstLine="210" w:firstLineChars="100"/>
              <w:rPr>
                <w:rFonts w:ascii="Times New Roman" w:hAnsi="Times New Roman" w:cs="Times New Roman"/>
                <w:color w:val="000000"/>
                <w:szCs w:val="21"/>
                <w:highlight w:val="none"/>
              </w:rPr>
            </w:pPr>
            <w:r>
              <w:rPr>
                <w:rFonts w:ascii="Times New Roman" w:hAnsi="Times New Roman" w:cs="Times New Roman"/>
                <w:color w:val="000000"/>
                <w:szCs w:val="21"/>
                <w:highlight w:val="none"/>
              </w:rPr>
              <w:t>签字、盖章要求</w:t>
            </w:r>
          </w:p>
        </w:tc>
        <w:tc>
          <w:tcPr>
            <w:tcW w:w="5381" w:type="dxa"/>
            <w:gridSpan w:val="3"/>
            <w:tcBorders>
              <w:top w:val="single" w:color="000000" w:sz="4" w:space="0"/>
              <w:left w:val="nil"/>
              <w:bottom w:val="single" w:color="000000" w:sz="4" w:space="0"/>
              <w:right w:val="single" w:color="000000" w:sz="4" w:space="0"/>
            </w:tcBorders>
            <w:vAlign w:val="center"/>
          </w:tcPr>
          <w:p w14:paraId="4B04B8E3">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须知前附表”第28项规定</w:t>
            </w:r>
          </w:p>
        </w:tc>
      </w:tr>
      <w:tr w14:paraId="193269D5">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3D54E8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9E8B265">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3762303E">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w:t>
            </w:r>
          </w:p>
        </w:tc>
        <w:tc>
          <w:tcPr>
            <w:tcW w:w="5372" w:type="dxa"/>
            <w:gridSpan w:val="2"/>
            <w:tcBorders>
              <w:top w:val="single" w:color="000000" w:sz="4" w:space="0"/>
              <w:left w:val="nil"/>
              <w:bottom w:val="single" w:color="000000" w:sz="4" w:space="0"/>
              <w:right w:val="single" w:color="000000" w:sz="4" w:space="0"/>
            </w:tcBorders>
            <w:vAlign w:val="center"/>
          </w:tcPr>
          <w:p w14:paraId="7C370A6B">
            <w:pPr>
              <w:spacing w:line="24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w:t>
            </w:r>
            <w:r>
              <w:rPr>
                <w:rFonts w:hint="eastAsia" w:ascii="Times New Roman" w:hAnsi="Times New Roman" w:cs="Times New Roman"/>
                <w:color w:val="000000"/>
                <w:szCs w:val="21"/>
                <w:highlight w:val="none"/>
                <w:lang w:eastAsia="zh-CN"/>
              </w:rPr>
              <w:t>第六章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格式的要求”和第二章“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须知前附表”第27项规定</w:t>
            </w:r>
          </w:p>
        </w:tc>
      </w:tr>
      <w:tr w14:paraId="2F60EA5E">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69E8B06A">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3A72528E">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4A14F49D">
            <w:pPr>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正、副本</w:t>
            </w:r>
          </w:p>
        </w:tc>
        <w:tc>
          <w:tcPr>
            <w:tcW w:w="5372" w:type="dxa"/>
            <w:gridSpan w:val="2"/>
            <w:tcBorders>
              <w:top w:val="single" w:color="000000" w:sz="4" w:space="0"/>
              <w:left w:val="nil"/>
              <w:bottom w:val="single" w:color="000000" w:sz="4" w:space="0"/>
              <w:right w:val="single" w:color="000000" w:sz="4" w:space="0"/>
            </w:tcBorders>
          </w:tcPr>
          <w:p w14:paraId="221E01B0">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w:t>
            </w:r>
            <w:r>
              <w:rPr>
                <w:rFonts w:hint="eastAsia"/>
                <w:color w:val="000000"/>
                <w:highlight w:val="none"/>
                <w:lang w:val="en-US" w:eastAsia="zh-CN"/>
              </w:rPr>
              <w:t>9</w:t>
            </w:r>
            <w:r>
              <w:rPr>
                <w:color w:val="000000"/>
                <w:highlight w:val="none"/>
              </w:rPr>
              <w:t>项要求</w:t>
            </w:r>
          </w:p>
        </w:tc>
      </w:tr>
      <w:tr w14:paraId="46E7C6F7">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right w:val="single" w:color="000000" w:sz="4" w:space="0"/>
            </w:tcBorders>
            <w:vAlign w:val="center"/>
          </w:tcPr>
          <w:p w14:paraId="25F7C60E">
            <w:pPr>
              <w:spacing w:line="360" w:lineRule="auto"/>
              <w:rPr>
                <w:rFonts w:ascii="Times New Roman" w:hAnsi="Times New Roman" w:cs="Times New Roman"/>
                <w:color w:val="000000"/>
                <w:szCs w:val="21"/>
                <w:highlight w:val="none"/>
              </w:rPr>
            </w:pPr>
          </w:p>
        </w:tc>
        <w:tc>
          <w:tcPr>
            <w:tcW w:w="1693" w:type="dxa"/>
            <w:vMerge w:val="continue"/>
            <w:tcBorders>
              <w:left w:val="nil"/>
              <w:right w:val="single" w:color="000000" w:sz="4" w:space="0"/>
            </w:tcBorders>
            <w:vAlign w:val="center"/>
          </w:tcPr>
          <w:p w14:paraId="73A5493C">
            <w:pPr>
              <w:spacing w:line="360" w:lineRule="auto"/>
              <w:rPr>
                <w:rFonts w:ascii="Times New Roman" w:hAnsi="Times New Roman" w:cs="Times New Roman"/>
                <w:color w:val="000000"/>
                <w:szCs w:val="21"/>
                <w:highlight w:val="none"/>
              </w:rPr>
            </w:pPr>
          </w:p>
        </w:tc>
        <w:tc>
          <w:tcPr>
            <w:tcW w:w="1923" w:type="dxa"/>
            <w:tcBorders>
              <w:top w:val="single" w:color="000000" w:sz="4" w:space="0"/>
              <w:left w:val="nil"/>
              <w:bottom w:val="single" w:color="000000" w:sz="4" w:space="0"/>
              <w:right w:val="single" w:color="000000" w:sz="4" w:space="0"/>
            </w:tcBorders>
            <w:vAlign w:val="center"/>
          </w:tcPr>
          <w:p w14:paraId="5F4CAC3C">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报价唯一</w:t>
            </w:r>
          </w:p>
        </w:tc>
        <w:tc>
          <w:tcPr>
            <w:tcW w:w="5372" w:type="dxa"/>
            <w:gridSpan w:val="2"/>
            <w:tcBorders>
              <w:top w:val="single" w:color="000000" w:sz="4" w:space="0"/>
              <w:left w:val="nil"/>
              <w:bottom w:val="single" w:color="000000" w:sz="4" w:space="0"/>
              <w:right w:val="single" w:color="000000" w:sz="4" w:space="0"/>
            </w:tcBorders>
          </w:tcPr>
          <w:p w14:paraId="708864E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须知前附表”第23项要求</w:t>
            </w:r>
          </w:p>
        </w:tc>
      </w:tr>
      <w:tr w14:paraId="16348AA4">
        <w:tblPrEx>
          <w:tblCellMar>
            <w:top w:w="0" w:type="dxa"/>
            <w:left w:w="108" w:type="dxa"/>
            <w:bottom w:w="0" w:type="dxa"/>
            <w:right w:w="108" w:type="dxa"/>
          </w:tblCellMar>
        </w:tblPrEx>
        <w:trPr>
          <w:gridAfter w:val="1"/>
          <w:wAfter w:w="9" w:type="dxa"/>
          <w:trHeight w:val="538" w:hRule="atLeast"/>
          <w:jc w:val="center"/>
        </w:trPr>
        <w:tc>
          <w:tcPr>
            <w:tcW w:w="851" w:type="dxa"/>
            <w:vMerge w:val="continue"/>
            <w:tcBorders>
              <w:left w:val="single" w:color="000000" w:sz="4" w:space="0"/>
              <w:bottom w:val="single" w:color="auto" w:sz="4" w:space="0"/>
              <w:right w:val="single" w:color="000000" w:sz="4" w:space="0"/>
            </w:tcBorders>
            <w:vAlign w:val="center"/>
          </w:tcPr>
          <w:p w14:paraId="260827A9">
            <w:pPr>
              <w:spacing w:line="360" w:lineRule="auto"/>
              <w:rPr>
                <w:rFonts w:ascii="Times New Roman" w:hAnsi="Times New Roman" w:cs="Times New Roman"/>
                <w:color w:val="000000"/>
                <w:szCs w:val="21"/>
                <w:highlight w:val="none"/>
              </w:rPr>
            </w:pPr>
          </w:p>
        </w:tc>
        <w:tc>
          <w:tcPr>
            <w:tcW w:w="1693" w:type="dxa"/>
            <w:vMerge w:val="continue"/>
            <w:tcBorders>
              <w:left w:val="nil"/>
              <w:bottom w:val="single" w:color="auto" w:sz="4" w:space="0"/>
              <w:right w:val="single" w:color="000000" w:sz="4" w:space="0"/>
            </w:tcBorders>
            <w:vAlign w:val="center"/>
          </w:tcPr>
          <w:p w14:paraId="5FD1ED50">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nil"/>
              <w:bottom w:val="single" w:color="000000" w:sz="4" w:space="0"/>
              <w:right w:val="single" w:color="000000" w:sz="4" w:space="0"/>
            </w:tcBorders>
            <w:vAlign w:val="center"/>
          </w:tcPr>
          <w:p w14:paraId="0FFE3AED">
            <w:pPr>
              <w:pStyle w:val="24"/>
              <w:spacing w:line="360" w:lineRule="auto"/>
              <w:ind w:firstLine="0"/>
              <w:rPr>
                <w:color w:val="000000"/>
                <w:highlight w:val="none"/>
              </w:rPr>
            </w:pPr>
            <w:r>
              <w:rPr>
                <w:b/>
                <w:color w:val="000000"/>
                <w:highlight w:val="none"/>
              </w:rPr>
              <w:t>以上评审有一条不通过，则视为形式评审标准不通过，不进入下一步评审，其</w:t>
            </w:r>
            <w:r>
              <w:rPr>
                <w:rFonts w:hint="eastAsia"/>
                <w:b/>
                <w:color w:val="000000"/>
                <w:highlight w:val="none"/>
              </w:rPr>
              <w:t>比选申请文件</w:t>
            </w:r>
            <w:r>
              <w:rPr>
                <w:b/>
                <w:color w:val="000000"/>
                <w:highlight w:val="none"/>
              </w:rPr>
              <w:t>无效。</w:t>
            </w:r>
          </w:p>
        </w:tc>
      </w:tr>
      <w:tr w14:paraId="75728B1B">
        <w:tblPrEx>
          <w:tblCellMar>
            <w:top w:w="0" w:type="dxa"/>
            <w:left w:w="108" w:type="dxa"/>
            <w:bottom w:w="0" w:type="dxa"/>
            <w:right w:w="108" w:type="dxa"/>
          </w:tblCellMar>
        </w:tblPrEx>
        <w:trPr>
          <w:gridAfter w:val="1"/>
          <w:wAfter w:w="9" w:type="dxa"/>
          <w:trHeight w:val="434"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1C5BCBE3">
            <w:pPr>
              <w:pStyle w:val="24"/>
              <w:spacing w:line="360" w:lineRule="auto"/>
              <w:ind w:firstLine="0"/>
              <w:jc w:val="center"/>
              <w:rPr>
                <w:color w:val="000000"/>
                <w:highlight w:val="none"/>
              </w:rPr>
            </w:pPr>
            <w:r>
              <w:rPr>
                <w:color w:val="000000"/>
                <w:highlight w:val="none"/>
              </w:rPr>
              <w:t>1.2</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A19374D">
            <w:pPr>
              <w:pStyle w:val="24"/>
              <w:spacing w:line="360" w:lineRule="auto"/>
              <w:ind w:firstLine="0"/>
              <w:jc w:val="center"/>
              <w:rPr>
                <w:color w:val="000000"/>
                <w:highlight w:val="none"/>
              </w:rPr>
            </w:pPr>
            <w:r>
              <w:rPr>
                <w:color w:val="000000"/>
                <w:highlight w:val="none"/>
              </w:rPr>
              <w:t>资格评审标准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112C6977">
            <w:pPr>
              <w:pStyle w:val="24"/>
              <w:spacing w:line="360" w:lineRule="auto"/>
              <w:ind w:firstLine="0"/>
              <w:jc w:val="center"/>
              <w:rPr>
                <w:color w:val="000000"/>
                <w:highlight w:val="none"/>
              </w:rPr>
            </w:pPr>
            <w:r>
              <w:rPr>
                <w:color w:val="000000"/>
                <w:highlight w:val="none"/>
              </w:rPr>
              <w:t>营业执照</w:t>
            </w:r>
          </w:p>
        </w:tc>
        <w:tc>
          <w:tcPr>
            <w:tcW w:w="5372" w:type="dxa"/>
            <w:gridSpan w:val="2"/>
            <w:tcBorders>
              <w:top w:val="single" w:color="000000" w:sz="4" w:space="0"/>
              <w:left w:val="nil"/>
              <w:bottom w:val="single" w:color="000000" w:sz="4" w:space="0"/>
              <w:right w:val="single" w:color="000000" w:sz="4" w:space="0"/>
            </w:tcBorders>
            <w:vAlign w:val="center"/>
          </w:tcPr>
          <w:p w14:paraId="67905575">
            <w:pPr>
              <w:pStyle w:val="24"/>
              <w:spacing w:line="360" w:lineRule="auto"/>
              <w:ind w:firstLine="0"/>
              <w:rPr>
                <w:color w:val="000000"/>
                <w:highlight w:val="none"/>
              </w:rPr>
            </w:pPr>
            <w:r>
              <w:rPr>
                <w:color w:val="000000"/>
                <w:highlight w:val="none"/>
              </w:rPr>
              <w:t>具备有效的营业执照。</w:t>
            </w:r>
          </w:p>
        </w:tc>
      </w:tr>
      <w:tr w14:paraId="788963CB">
        <w:tblPrEx>
          <w:tblCellMar>
            <w:top w:w="0" w:type="dxa"/>
            <w:left w:w="108" w:type="dxa"/>
            <w:bottom w:w="0" w:type="dxa"/>
            <w:right w:w="108" w:type="dxa"/>
          </w:tblCellMar>
        </w:tblPrEx>
        <w:trPr>
          <w:gridAfter w:val="1"/>
          <w:wAfter w:w="9" w:type="dxa"/>
          <w:trHeight w:val="513"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5F38BE68">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21129481">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6AC39F4">
            <w:pPr>
              <w:pStyle w:val="24"/>
              <w:spacing w:line="360" w:lineRule="auto"/>
              <w:ind w:firstLine="0"/>
              <w:jc w:val="center"/>
              <w:rPr>
                <w:color w:val="000000"/>
                <w:highlight w:val="none"/>
              </w:rPr>
            </w:pPr>
            <w:r>
              <w:rPr>
                <w:color w:val="000000"/>
                <w:highlight w:val="none"/>
              </w:rPr>
              <w:t>资质要求</w:t>
            </w:r>
          </w:p>
        </w:tc>
        <w:tc>
          <w:tcPr>
            <w:tcW w:w="5372" w:type="dxa"/>
            <w:gridSpan w:val="2"/>
            <w:tcBorders>
              <w:top w:val="single" w:color="000000" w:sz="4" w:space="0"/>
              <w:left w:val="nil"/>
              <w:bottom w:val="single" w:color="000000" w:sz="4" w:space="0"/>
              <w:right w:val="single" w:color="000000" w:sz="4" w:space="0"/>
            </w:tcBorders>
            <w:vAlign w:val="center"/>
          </w:tcPr>
          <w:p w14:paraId="1DA14475">
            <w:pPr>
              <w:pStyle w:val="24"/>
              <w:spacing w:line="360" w:lineRule="auto"/>
              <w:ind w:firstLine="0"/>
              <w:rPr>
                <w:color w:val="000000"/>
                <w:highlight w:val="none"/>
              </w:rPr>
            </w:pPr>
            <w:r>
              <w:rPr>
                <w:color w:val="000000"/>
                <w:highlight w:val="none"/>
              </w:rPr>
              <w:t>符合第二章“</w:t>
            </w:r>
            <w:r>
              <w:rPr>
                <w:rFonts w:hint="eastAsia"/>
                <w:color w:val="000000"/>
                <w:highlight w:val="none"/>
              </w:rPr>
              <w:t>比选申请人</w:t>
            </w:r>
            <w:r>
              <w:rPr>
                <w:color w:val="000000"/>
                <w:highlight w:val="none"/>
              </w:rPr>
              <w:t>须知前附表”第7项规定</w:t>
            </w:r>
          </w:p>
        </w:tc>
      </w:tr>
      <w:tr w14:paraId="112CF3FC">
        <w:tblPrEx>
          <w:tblCellMar>
            <w:top w:w="0" w:type="dxa"/>
            <w:left w:w="108" w:type="dxa"/>
            <w:bottom w:w="0" w:type="dxa"/>
            <w:right w:w="108" w:type="dxa"/>
          </w:tblCellMar>
        </w:tblPrEx>
        <w:trPr>
          <w:gridAfter w:val="1"/>
          <w:wAfter w:w="9" w:type="dxa"/>
          <w:trHeight w:val="38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F0B23F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19CB4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right w:val="single" w:color="000000" w:sz="4" w:space="0"/>
            </w:tcBorders>
            <w:vAlign w:val="center"/>
          </w:tcPr>
          <w:p w14:paraId="330C2EC5">
            <w:pPr>
              <w:pStyle w:val="24"/>
              <w:spacing w:line="360" w:lineRule="auto"/>
              <w:ind w:firstLine="0"/>
              <w:jc w:val="center"/>
              <w:rPr>
                <w:color w:val="000000"/>
                <w:highlight w:val="none"/>
              </w:rPr>
            </w:pPr>
            <w:r>
              <w:rPr>
                <w:color w:val="000000"/>
                <w:highlight w:val="none"/>
              </w:rPr>
              <w:t>业绩要求</w:t>
            </w:r>
          </w:p>
        </w:tc>
        <w:tc>
          <w:tcPr>
            <w:tcW w:w="5372" w:type="dxa"/>
            <w:gridSpan w:val="2"/>
            <w:tcBorders>
              <w:top w:val="single" w:color="000000" w:sz="4" w:space="0"/>
              <w:left w:val="nil"/>
              <w:right w:val="single" w:color="000000" w:sz="4" w:space="0"/>
            </w:tcBorders>
            <w:vAlign w:val="center"/>
          </w:tcPr>
          <w:p w14:paraId="4E835288">
            <w:pPr>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1D089700">
        <w:tblPrEx>
          <w:tblCellMar>
            <w:top w:w="0" w:type="dxa"/>
            <w:left w:w="108" w:type="dxa"/>
            <w:bottom w:w="0" w:type="dxa"/>
            <w:right w:w="108" w:type="dxa"/>
          </w:tblCellMar>
        </w:tblPrEx>
        <w:trPr>
          <w:gridAfter w:val="1"/>
          <w:wAfter w:w="9" w:type="dxa"/>
          <w:trHeight w:val="488"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0D3E593">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3B50F46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6D54F2E">
            <w:pPr>
              <w:pStyle w:val="24"/>
              <w:spacing w:line="360" w:lineRule="auto"/>
              <w:ind w:firstLine="0"/>
              <w:jc w:val="center"/>
              <w:rPr>
                <w:color w:val="000000"/>
                <w:highlight w:val="none"/>
              </w:rPr>
            </w:pPr>
            <w:r>
              <w:rPr>
                <w:rFonts w:hint="eastAsia"/>
                <w:color w:val="000000"/>
                <w:highlight w:val="none"/>
                <w:lang w:val="en-US" w:eastAsia="zh-CN"/>
              </w:rPr>
              <w:t>主要</w:t>
            </w:r>
            <w:r>
              <w:rPr>
                <w:color w:val="000000"/>
                <w:highlight w:val="none"/>
              </w:rPr>
              <w:t>人员要求</w:t>
            </w:r>
          </w:p>
        </w:tc>
        <w:tc>
          <w:tcPr>
            <w:tcW w:w="5372" w:type="dxa"/>
            <w:gridSpan w:val="2"/>
            <w:tcBorders>
              <w:top w:val="single" w:color="000000" w:sz="4" w:space="0"/>
              <w:left w:val="nil"/>
              <w:bottom w:val="single" w:color="000000" w:sz="4" w:space="0"/>
              <w:right w:val="single" w:color="000000" w:sz="4" w:space="0"/>
            </w:tcBorders>
            <w:vAlign w:val="center"/>
          </w:tcPr>
          <w:p w14:paraId="5234D08F">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31B1DB3D">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365E2F1B">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044DD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7D4677">
            <w:pPr>
              <w:pStyle w:val="24"/>
              <w:spacing w:line="360" w:lineRule="auto"/>
              <w:ind w:firstLine="0"/>
              <w:jc w:val="center"/>
              <w:rPr>
                <w:color w:val="000000"/>
                <w:highlight w:val="none"/>
              </w:rPr>
            </w:pPr>
            <w:r>
              <w:rPr>
                <w:color w:val="000000"/>
                <w:highlight w:val="none"/>
              </w:rPr>
              <w:t>信誉要求</w:t>
            </w:r>
          </w:p>
        </w:tc>
        <w:tc>
          <w:tcPr>
            <w:tcW w:w="5372" w:type="dxa"/>
            <w:gridSpan w:val="2"/>
            <w:tcBorders>
              <w:top w:val="single" w:color="000000" w:sz="4" w:space="0"/>
              <w:left w:val="nil"/>
              <w:bottom w:val="single" w:color="000000" w:sz="4" w:space="0"/>
              <w:right w:val="single" w:color="000000" w:sz="4" w:space="0"/>
            </w:tcBorders>
            <w:vAlign w:val="center"/>
          </w:tcPr>
          <w:p w14:paraId="389BF5F3">
            <w:pPr>
              <w:spacing w:line="360" w:lineRule="auto"/>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653E5B4">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3D671B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0D1A1FF8">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shd w:val="clear" w:color="auto" w:fill="auto"/>
            <w:vAlign w:val="center"/>
          </w:tcPr>
          <w:p w14:paraId="44A8D406">
            <w:pPr>
              <w:autoSpaceDE w:val="0"/>
              <w:autoSpaceDN w:val="0"/>
              <w:spacing w:line="240" w:lineRule="auto"/>
              <w:jc w:val="center"/>
              <w:rPr>
                <w:rFonts w:hint="eastAsia" w:ascii="宋体" w:hAnsi="宋体" w:eastAsia="宋体" w:cs="宋体"/>
                <w:color w:val="000000"/>
                <w:kern w:val="2"/>
                <w:sz w:val="21"/>
                <w:szCs w:val="22"/>
                <w:lang w:val="en-US" w:eastAsia="zh-CN" w:bidi="ar-SA"/>
              </w:rPr>
            </w:pPr>
            <w:r>
              <w:rPr>
                <w:rFonts w:hint="eastAsia" w:ascii="宋体" w:hAnsi="宋体" w:cs="宋体"/>
                <w:color w:val="000000"/>
                <w:lang w:val="en-US" w:eastAsia="zh-CN"/>
              </w:rPr>
              <w:t>入库要求</w:t>
            </w:r>
          </w:p>
        </w:tc>
        <w:tc>
          <w:tcPr>
            <w:tcW w:w="5372" w:type="dxa"/>
            <w:gridSpan w:val="2"/>
            <w:tcBorders>
              <w:top w:val="single" w:color="000000" w:sz="4" w:space="0"/>
              <w:left w:val="nil"/>
              <w:bottom w:val="single" w:color="000000" w:sz="4" w:space="0"/>
              <w:right w:val="single" w:color="000000" w:sz="4" w:space="0"/>
            </w:tcBorders>
            <w:shd w:val="clear" w:color="auto" w:fill="auto"/>
            <w:vAlign w:val="center"/>
          </w:tcPr>
          <w:p w14:paraId="2CF81788">
            <w:pPr>
              <w:spacing w:line="240" w:lineRule="auto"/>
              <w:jc w:val="left"/>
              <w:rPr>
                <w:rFonts w:hint="eastAsia" w:ascii="宋体" w:hAnsi="宋体" w:eastAsia="宋体" w:cs="宋体"/>
                <w:color w:val="000000"/>
                <w:kern w:val="2"/>
                <w:sz w:val="21"/>
                <w:szCs w:val="21"/>
                <w:lang w:val="en-US" w:eastAsia="zh-CN" w:bidi="ar-SA"/>
              </w:rPr>
            </w:pPr>
            <w:r>
              <w:rPr>
                <w:rFonts w:hint="eastAsia" w:ascii="宋体" w:hAnsi="宋体"/>
                <w:color w:val="000000"/>
                <w:szCs w:val="21"/>
                <w:lang w:val="en-US" w:eastAsia="zh-CN"/>
              </w:rPr>
              <w:t>符合第二章</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须知前附表”第7项规定</w:t>
            </w:r>
          </w:p>
        </w:tc>
      </w:tr>
      <w:tr w14:paraId="053DA35A">
        <w:tblPrEx>
          <w:tblCellMar>
            <w:top w:w="0" w:type="dxa"/>
            <w:left w:w="108" w:type="dxa"/>
            <w:bottom w:w="0" w:type="dxa"/>
            <w:right w:w="108" w:type="dxa"/>
          </w:tblCellMar>
        </w:tblPrEx>
        <w:trPr>
          <w:gridAfter w:val="1"/>
          <w:wAfter w:w="9" w:type="dxa"/>
          <w:trHeight w:val="449"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6B8D8386">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54DC67E4">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205E5C40">
            <w:pPr>
              <w:autoSpaceDE w:val="0"/>
              <w:autoSpaceDN w:val="0"/>
              <w:spacing w:line="240" w:lineRule="auto"/>
              <w:jc w:val="center"/>
              <w:rPr>
                <w:rFonts w:ascii="宋体" w:hAnsi="宋体" w:eastAsia="宋体" w:cs="宋体"/>
                <w:kern w:val="2"/>
                <w:sz w:val="21"/>
                <w:szCs w:val="22"/>
                <w:lang w:val="en-US" w:eastAsia="zh-CN" w:bidi="ar-SA"/>
              </w:rPr>
            </w:pPr>
            <w:r>
              <w:rPr>
                <w:rFonts w:hint="eastAsia" w:ascii="宋体" w:hAnsi="宋体" w:cs="宋体"/>
                <w:color w:val="000000"/>
              </w:rPr>
              <w:t>不存在</w:t>
            </w:r>
            <w:r>
              <w:rPr>
                <w:rFonts w:hint="eastAsia" w:ascii="宋体" w:hAnsi="宋体" w:cs="宋体"/>
                <w:color w:val="000000"/>
                <w:lang w:val="en-US" w:eastAsia="zh-CN"/>
              </w:rPr>
              <w:t>限制参选的</w:t>
            </w:r>
            <w:r>
              <w:rPr>
                <w:rFonts w:hint="eastAsia" w:ascii="宋体" w:hAnsi="宋体" w:cs="宋体"/>
                <w:color w:val="000000"/>
              </w:rPr>
              <w:t>情形</w:t>
            </w:r>
          </w:p>
        </w:tc>
        <w:tc>
          <w:tcPr>
            <w:tcW w:w="5372" w:type="dxa"/>
            <w:gridSpan w:val="2"/>
            <w:tcBorders>
              <w:top w:val="single" w:color="000000" w:sz="4" w:space="0"/>
              <w:left w:val="nil"/>
              <w:bottom w:val="single" w:color="000000" w:sz="4" w:space="0"/>
              <w:right w:val="single" w:color="000000" w:sz="4" w:space="0"/>
            </w:tcBorders>
            <w:vAlign w:val="center"/>
          </w:tcPr>
          <w:p w14:paraId="23D5E501">
            <w:pPr>
              <w:spacing w:line="240" w:lineRule="auto"/>
              <w:jc w:val="left"/>
              <w:rPr>
                <w:rFonts w:hint="eastAsia" w:ascii="宋体" w:hAnsi="宋体" w:eastAsia="宋体" w:cs="宋体"/>
                <w:kern w:val="2"/>
                <w:sz w:val="21"/>
                <w:szCs w:val="22"/>
                <w:lang w:val="en-US" w:eastAsia="zh-CN" w:bidi="ar-SA"/>
              </w:rPr>
            </w:pPr>
            <w:r>
              <w:rPr>
                <w:rFonts w:hint="eastAsia" w:ascii="宋体" w:hAnsi="宋体"/>
                <w:color w:val="000000"/>
                <w:szCs w:val="21"/>
              </w:rPr>
              <w:t>不存在第二章“投标人须知前附表”</w:t>
            </w:r>
            <w:r>
              <w:rPr>
                <w:rFonts w:ascii="Times New Roman" w:hAnsi="Times New Roman" w:cs="Times New Roman"/>
                <w:color w:val="000000"/>
                <w:szCs w:val="21"/>
                <w:highlight w:val="none"/>
              </w:rPr>
              <w:t>第</w:t>
            </w:r>
            <w:r>
              <w:rPr>
                <w:rFonts w:hint="eastAsia" w:ascii="Times New Roman" w:hAnsi="Times New Roman" w:cs="Times New Roman"/>
                <w:color w:val="000000"/>
                <w:szCs w:val="21"/>
                <w:highlight w:val="none"/>
                <w:lang w:val="en-US" w:eastAsia="zh-CN"/>
              </w:rPr>
              <w:t>9</w:t>
            </w:r>
            <w:r>
              <w:rPr>
                <w:rFonts w:ascii="Times New Roman" w:hAnsi="Times New Roman" w:cs="Times New Roman"/>
                <w:color w:val="000000"/>
                <w:szCs w:val="21"/>
                <w:highlight w:val="none"/>
              </w:rPr>
              <w:t>项</w:t>
            </w:r>
            <w:r>
              <w:rPr>
                <w:rFonts w:hint="eastAsia" w:ascii="宋体" w:hAnsi="宋体"/>
                <w:color w:val="000000"/>
                <w:szCs w:val="21"/>
              </w:rPr>
              <w:t>规定任何一种情形</w:t>
            </w:r>
          </w:p>
        </w:tc>
      </w:tr>
      <w:tr w14:paraId="1EDAFBBD">
        <w:tblPrEx>
          <w:tblCellMar>
            <w:top w:w="0" w:type="dxa"/>
            <w:left w:w="108" w:type="dxa"/>
            <w:bottom w:w="0" w:type="dxa"/>
            <w:right w:w="108" w:type="dxa"/>
          </w:tblCellMar>
        </w:tblPrEx>
        <w:trPr>
          <w:gridAfter w:val="1"/>
          <w:wAfter w:w="9" w:type="dxa"/>
          <w:trHeight w:val="455"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07DA9D2A">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4A54E97D">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7765968E">
            <w:pPr>
              <w:pStyle w:val="24"/>
              <w:spacing w:line="360" w:lineRule="auto"/>
              <w:ind w:firstLine="0"/>
              <w:rPr>
                <w:color w:val="000000"/>
                <w:highlight w:val="none"/>
              </w:rPr>
            </w:pPr>
            <w:r>
              <w:rPr>
                <w:b/>
                <w:color w:val="000000"/>
                <w:highlight w:val="none"/>
              </w:rPr>
              <w:t>以上评审有一条不通过，则视为资格评审标准不通过，不进入下一步评审，其</w:t>
            </w:r>
            <w:r>
              <w:rPr>
                <w:rFonts w:hint="eastAsia"/>
                <w:b/>
                <w:color w:val="000000"/>
                <w:highlight w:val="none"/>
              </w:rPr>
              <w:t>比选申请文件</w:t>
            </w:r>
            <w:r>
              <w:rPr>
                <w:b/>
                <w:color w:val="000000"/>
                <w:highlight w:val="none"/>
              </w:rPr>
              <w:t>无效。</w:t>
            </w:r>
          </w:p>
        </w:tc>
      </w:tr>
      <w:tr w14:paraId="3E420F23">
        <w:tblPrEx>
          <w:tblCellMar>
            <w:top w:w="0" w:type="dxa"/>
            <w:left w:w="108" w:type="dxa"/>
            <w:bottom w:w="0" w:type="dxa"/>
            <w:right w:w="108" w:type="dxa"/>
          </w:tblCellMar>
        </w:tblPrEx>
        <w:trPr>
          <w:gridAfter w:val="1"/>
          <w:wAfter w:w="9" w:type="dxa"/>
          <w:trHeight w:val="485" w:hRule="atLeast"/>
          <w:jc w:val="center"/>
        </w:trPr>
        <w:tc>
          <w:tcPr>
            <w:tcW w:w="851" w:type="dxa"/>
            <w:vMerge w:val="restart"/>
            <w:tcBorders>
              <w:top w:val="single" w:color="auto" w:sz="4" w:space="0"/>
              <w:left w:val="single" w:color="auto" w:sz="4" w:space="0"/>
              <w:bottom w:val="single" w:color="auto" w:sz="4" w:space="0"/>
              <w:right w:val="single" w:color="auto" w:sz="4" w:space="0"/>
            </w:tcBorders>
            <w:vAlign w:val="center"/>
          </w:tcPr>
          <w:p w14:paraId="25963964">
            <w:pPr>
              <w:spacing w:line="360" w:lineRule="auto"/>
              <w:jc w:val="center"/>
              <w:rPr>
                <w:rFonts w:hint="default" w:ascii="Times New Roman" w:hAnsi="Times New Roman" w:eastAsia="宋体" w:cs="Times New Roman"/>
                <w:color w:val="000000"/>
                <w:szCs w:val="21"/>
                <w:highlight w:val="none"/>
                <w:lang w:val="en-US" w:eastAsia="zh-CN"/>
              </w:rPr>
            </w:pPr>
            <w:r>
              <w:rPr>
                <w:rFonts w:hint="eastAsia" w:ascii="Times New Roman" w:hAnsi="Times New Roman" w:cs="Times New Roman"/>
                <w:color w:val="000000"/>
                <w:szCs w:val="21"/>
                <w:highlight w:val="none"/>
                <w:lang w:val="en-US" w:eastAsia="zh-CN"/>
              </w:rPr>
              <w:t>1.3</w:t>
            </w:r>
          </w:p>
        </w:tc>
        <w:tc>
          <w:tcPr>
            <w:tcW w:w="1693" w:type="dxa"/>
            <w:vMerge w:val="restart"/>
            <w:tcBorders>
              <w:top w:val="single" w:color="auto" w:sz="4" w:space="0"/>
              <w:left w:val="single" w:color="auto" w:sz="4" w:space="0"/>
              <w:bottom w:val="single" w:color="auto" w:sz="4" w:space="0"/>
              <w:right w:val="single" w:color="auto" w:sz="4" w:space="0"/>
            </w:tcBorders>
            <w:vAlign w:val="center"/>
          </w:tcPr>
          <w:p w14:paraId="0B38C57E">
            <w:pPr>
              <w:spacing w:line="360" w:lineRule="auto"/>
              <w:rPr>
                <w:rFonts w:ascii="Times New Roman" w:hAnsi="Times New Roman" w:cs="Times New Roman"/>
                <w:color w:val="000000"/>
                <w:szCs w:val="21"/>
                <w:highlight w:val="none"/>
              </w:rPr>
            </w:pPr>
            <w:r>
              <w:rPr>
                <w:rFonts w:hint="eastAsia"/>
                <w:color w:val="000000"/>
                <w:highlight w:val="none"/>
                <w:lang w:val="en-US" w:eastAsia="zh-CN"/>
              </w:rPr>
              <w:t>响应性</w:t>
            </w:r>
            <w:r>
              <w:rPr>
                <w:color w:val="000000"/>
                <w:highlight w:val="none"/>
              </w:rPr>
              <w:t>评审标准</w:t>
            </w:r>
          </w:p>
        </w:tc>
        <w:tc>
          <w:tcPr>
            <w:tcW w:w="1923" w:type="dxa"/>
            <w:tcBorders>
              <w:top w:val="single" w:color="000000" w:sz="4" w:space="0"/>
              <w:left w:val="single" w:color="auto" w:sz="4" w:space="0"/>
              <w:bottom w:val="single" w:color="000000" w:sz="4" w:space="0"/>
              <w:right w:val="single" w:color="000000" w:sz="4" w:space="0"/>
            </w:tcBorders>
            <w:vAlign w:val="center"/>
          </w:tcPr>
          <w:p w14:paraId="2A46ABFE">
            <w:pPr>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范围</w:t>
            </w:r>
          </w:p>
        </w:tc>
        <w:tc>
          <w:tcPr>
            <w:tcW w:w="5372" w:type="dxa"/>
            <w:gridSpan w:val="2"/>
            <w:tcBorders>
              <w:top w:val="single" w:color="000000" w:sz="4" w:space="0"/>
              <w:left w:val="nil"/>
              <w:bottom w:val="single" w:color="000000" w:sz="4" w:space="0"/>
              <w:right w:val="single" w:color="000000" w:sz="4" w:space="0"/>
            </w:tcBorders>
            <w:vAlign w:val="center"/>
          </w:tcPr>
          <w:p w14:paraId="03446172">
            <w:pPr>
              <w:rPr>
                <w:rFonts w:ascii="Times New Roman" w:hAnsi="Times New Roman" w:eastAsia="宋体" w:cs="Times New Roman"/>
                <w:color w:val="000000"/>
                <w:kern w:val="2"/>
                <w:sz w:val="21"/>
                <w:szCs w:val="21"/>
                <w:highlight w:val="none"/>
                <w:lang w:val="en-US" w:eastAsia="zh-CN" w:bidi="ar-SA"/>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须知前附表”第4项规定</w:t>
            </w:r>
          </w:p>
        </w:tc>
      </w:tr>
      <w:tr w14:paraId="5AA2A77E">
        <w:tblPrEx>
          <w:tblCellMar>
            <w:top w:w="0" w:type="dxa"/>
            <w:left w:w="108" w:type="dxa"/>
            <w:bottom w:w="0" w:type="dxa"/>
            <w:right w:w="108" w:type="dxa"/>
          </w:tblCellMar>
        </w:tblPrEx>
        <w:trPr>
          <w:gridAfter w:val="1"/>
          <w:wAfter w:w="9" w:type="dxa"/>
          <w:trHeight w:val="485"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EADFD11">
            <w:pPr>
              <w:spacing w:line="360" w:lineRule="auto"/>
              <w:jc w:val="center"/>
              <w:rPr>
                <w:rFonts w:hint="default" w:ascii="Times New Roman" w:hAnsi="Times New Roman" w:eastAsia="宋体" w:cs="Times New Roman"/>
                <w:color w:val="000000"/>
                <w:szCs w:val="21"/>
                <w:highlight w:val="none"/>
                <w:lang w:val="en-US" w:eastAsia="zh-CN"/>
              </w:rPr>
            </w:pPr>
          </w:p>
        </w:tc>
        <w:tc>
          <w:tcPr>
            <w:tcW w:w="1693" w:type="dxa"/>
            <w:vMerge w:val="continue"/>
            <w:tcBorders>
              <w:top w:val="single" w:color="auto" w:sz="4" w:space="0"/>
              <w:left w:val="nil"/>
              <w:bottom w:val="single" w:color="auto" w:sz="4" w:space="0"/>
              <w:right w:val="single" w:color="auto" w:sz="4" w:space="0"/>
            </w:tcBorders>
            <w:vAlign w:val="center"/>
          </w:tcPr>
          <w:p w14:paraId="112E2CDD">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D684807">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计划工期</w:t>
            </w:r>
          </w:p>
        </w:tc>
        <w:tc>
          <w:tcPr>
            <w:tcW w:w="5372" w:type="dxa"/>
            <w:gridSpan w:val="2"/>
            <w:tcBorders>
              <w:top w:val="single" w:color="000000" w:sz="4" w:space="0"/>
              <w:left w:val="nil"/>
              <w:bottom w:val="single" w:color="000000" w:sz="4" w:space="0"/>
              <w:right w:val="single" w:color="000000" w:sz="4" w:space="0"/>
            </w:tcBorders>
            <w:vAlign w:val="center"/>
          </w:tcPr>
          <w:p w14:paraId="6538708E">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须知前附表”第5项规定</w:t>
            </w:r>
          </w:p>
        </w:tc>
      </w:tr>
      <w:tr w14:paraId="28CBBBA9">
        <w:tblPrEx>
          <w:tblCellMar>
            <w:top w:w="0" w:type="dxa"/>
            <w:left w:w="108" w:type="dxa"/>
            <w:bottom w:w="0" w:type="dxa"/>
            <w:right w:w="108" w:type="dxa"/>
          </w:tblCellMar>
        </w:tblPrEx>
        <w:trPr>
          <w:gridAfter w:val="1"/>
          <w:wAfter w:w="9" w:type="dxa"/>
          <w:trHeight w:val="43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20F9EC6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3A89AE72">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29EC5A4">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质量要求</w:t>
            </w:r>
          </w:p>
        </w:tc>
        <w:tc>
          <w:tcPr>
            <w:tcW w:w="5372" w:type="dxa"/>
            <w:gridSpan w:val="2"/>
            <w:tcBorders>
              <w:top w:val="single" w:color="000000" w:sz="4" w:space="0"/>
              <w:left w:val="nil"/>
              <w:bottom w:val="single" w:color="000000" w:sz="4" w:space="0"/>
              <w:right w:val="single" w:color="000000" w:sz="4" w:space="0"/>
            </w:tcBorders>
            <w:vAlign w:val="center"/>
          </w:tcPr>
          <w:p w14:paraId="5E062936">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须知前附表”第6项规定</w:t>
            </w:r>
          </w:p>
        </w:tc>
      </w:tr>
      <w:tr w14:paraId="134F058E">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17F122DC">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1F916810">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631D1BDC">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有效期</w:t>
            </w:r>
          </w:p>
        </w:tc>
        <w:tc>
          <w:tcPr>
            <w:tcW w:w="5372" w:type="dxa"/>
            <w:gridSpan w:val="2"/>
            <w:tcBorders>
              <w:top w:val="single" w:color="000000" w:sz="4" w:space="0"/>
              <w:left w:val="nil"/>
              <w:bottom w:val="single" w:color="000000" w:sz="4" w:space="0"/>
              <w:right w:val="single" w:color="000000" w:sz="4" w:space="0"/>
            </w:tcBorders>
            <w:vAlign w:val="center"/>
          </w:tcPr>
          <w:p w14:paraId="5FA8CF6F">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须知前附表”第24项规定</w:t>
            </w:r>
          </w:p>
        </w:tc>
      </w:tr>
      <w:tr w14:paraId="51DF8310">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53A81B61">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6378C3C5">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316F5A1D">
            <w:pPr>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最高</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限价</w:t>
            </w:r>
          </w:p>
        </w:tc>
        <w:tc>
          <w:tcPr>
            <w:tcW w:w="5372" w:type="dxa"/>
            <w:gridSpan w:val="2"/>
            <w:tcBorders>
              <w:top w:val="single" w:color="000000" w:sz="4" w:space="0"/>
              <w:left w:val="nil"/>
              <w:bottom w:val="single" w:color="000000" w:sz="4" w:space="0"/>
              <w:right w:val="single" w:color="000000" w:sz="4" w:space="0"/>
            </w:tcBorders>
            <w:vAlign w:val="center"/>
          </w:tcPr>
          <w:p w14:paraId="1EC10E25">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须知前附表”第20项规定</w:t>
            </w:r>
          </w:p>
        </w:tc>
      </w:tr>
      <w:tr w14:paraId="4A99FDD2">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48AA2CD">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05BBA6C">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04E541AD">
            <w:pPr>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真实性</w:t>
            </w:r>
            <w:r>
              <w:rPr>
                <w:rFonts w:ascii="Times New Roman" w:hAnsi="Times New Roman" w:cs="Times New Roman"/>
                <w:color w:val="000000"/>
                <w:szCs w:val="21"/>
                <w:highlight w:val="none"/>
              </w:rPr>
              <w:t>要求</w:t>
            </w:r>
          </w:p>
        </w:tc>
        <w:tc>
          <w:tcPr>
            <w:tcW w:w="5372" w:type="dxa"/>
            <w:gridSpan w:val="2"/>
            <w:tcBorders>
              <w:top w:val="single" w:color="000000" w:sz="4" w:space="0"/>
              <w:left w:val="nil"/>
              <w:bottom w:val="single" w:color="000000" w:sz="4" w:space="0"/>
              <w:right w:val="single" w:color="000000" w:sz="4" w:space="0"/>
            </w:tcBorders>
            <w:vAlign w:val="center"/>
          </w:tcPr>
          <w:p w14:paraId="55E8DF53">
            <w:pPr>
              <w:rPr>
                <w:rFonts w:ascii="Times New Roman" w:hAnsi="Times New Roman" w:cs="Times New Roman"/>
                <w:color w:val="000000"/>
                <w:szCs w:val="21"/>
                <w:highlight w:val="none"/>
              </w:rPr>
            </w:pPr>
            <w:r>
              <w:rPr>
                <w:rFonts w:ascii="Times New Roman" w:hAnsi="Times New Roman" w:cs="Times New Roman"/>
                <w:color w:val="000000"/>
                <w:szCs w:val="21"/>
                <w:highlight w:val="none"/>
              </w:rPr>
              <w:t>符合第二章“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须知前附表”第26项规定</w:t>
            </w:r>
          </w:p>
        </w:tc>
      </w:tr>
      <w:tr w14:paraId="45A82009">
        <w:tblPrEx>
          <w:tblCellMar>
            <w:top w:w="0" w:type="dxa"/>
            <w:left w:w="108" w:type="dxa"/>
            <w:bottom w:w="0" w:type="dxa"/>
            <w:right w:w="108" w:type="dxa"/>
          </w:tblCellMar>
        </w:tblPrEx>
        <w:trPr>
          <w:gridAfter w:val="1"/>
          <w:wAfter w:w="9" w:type="dxa"/>
          <w:trHeight w:val="506"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4A621594">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7BB1BD5B">
            <w:pPr>
              <w:spacing w:line="360" w:lineRule="auto"/>
              <w:rPr>
                <w:rFonts w:ascii="Times New Roman" w:hAnsi="Times New Roman" w:cs="Times New Roman"/>
                <w:color w:val="000000"/>
                <w:szCs w:val="21"/>
                <w:highlight w:val="none"/>
              </w:rPr>
            </w:pPr>
          </w:p>
        </w:tc>
        <w:tc>
          <w:tcPr>
            <w:tcW w:w="1923" w:type="dxa"/>
            <w:tcBorders>
              <w:top w:val="single" w:color="000000" w:sz="4" w:space="0"/>
              <w:left w:val="single" w:color="auto" w:sz="4" w:space="0"/>
              <w:bottom w:val="single" w:color="000000" w:sz="4" w:space="0"/>
              <w:right w:val="single" w:color="000000" w:sz="4" w:space="0"/>
            </w:tcBorders>
            <w:vAlign w:val="center"/>
          </w:tcPr>
          <w:p w14:paraId="56145D90">
            <w:pPr>
              <w:jc w:val="center"/>
              <w:rPr>
                <w:rFonts w:ascii="宋体" w:hAnsi="宋体"/>
                <w:color w:val="000000"/>
                <w:szCs w:val="21"/>
                <w:highlight w:val="none"/>
              </w:rPr>
            </w:pPr>
            <w:r>
              <w:rPr>
                <w:rFonts w:hint="eastAsia" w:ascii="宋体" w:hAnsi="宋体"/>
                <w:color w:val="000000"/>
                <w:szCs w:val="21"/>
                <w:highlight w:val="none"/>
              </w:rPr>
              <w:t>合同条款</w:t>
            </w:r>
          </w:p>
        </w:tc>
        <w:tc>
          <w:tcPr>
            <w:tcW w:w="5372" w:type="dxa"/>
            <w:gridSpan w:val="2"/>
            <w:tcBorders>
              <w:top w:val="single" w:color="000000" w:sz="4" w:space="0"/>
              <w:left w:val="nil"/>
              <w:bottom w:val="single" w:color="000000" w:sz="4" w:space="0"/>
              <w:right w:val="single" w:color="000000" w:sz="4" w:space="0"/>
            </w:tcBorders>
            <w:vAlign w:val="center"/>
          </w:tcPr>
          <w:p w14:paraId="7E2ACBB5">
            <w:pPr>
              <w:rPr>
                <w:rFonts w:ascii="宋体" w:hAnsi="宋体"/>
                <w:color w:val="000000"/>
                <w:szCs w:val="21"/>
                <w:highlight w:val="none"/>
              </w:rPr>
            </w:pPr>
            <w:r>
              <w:rPr>
                <w:rFonts w:hint="eastAsia" w:ascii="宋体" w:hAnsi="宋体"/>
                <w:color w:val="000000"/>
                <w:szCs w:val="21"/>
                <w:highlight w:val="none"/>
              </w:rPr>
              <w:t>接受第四章“合同条款及格式”所有内容</w:t>
            </w:r>
          </w:p>
        </w:tc>
      </w:tr>
      <w:tr w14:paraId="1531770D">
        <w:tblPrEx>
          <w:tblCellMar>
            <w:top w:w="0" w:type="dxa"/>
            <w:left w:w="108" w:type="dxa"/>
            <w:bottom w:w="0" w:type="dxa"/>
            <w:right w:w="108" w:type="dxa"/>
          </w:tblCellMar>
        </w:tblPrEx>
        <w:trPr>
          <w:gridAfter w:val="1"/>
          <w:wAfter w:w="9" w:type="dxa"/>
          <w:trHeight w:val="413" w:hRule="atLeast"/>
          <w:jc w:val="center"/>
        </w:trPr>
        <w:tc>
          <w:tcPr>
            <w:tcW w:w="851" w:type="dxa"/>
            <w:vMerge w:val="continue"/>
            <w:tcBorders>
              <w:top w:val="single" w:color="auto" w:sz="4" w:space="0"/>
              <w:left w:val="single" w:color="auto" w:sz="4" w:space="0"/>
              <w:bottom w:val="single" w:color="auto" w:sz="4" w:space="0"/>
              <w:right w:val="single" w:color="000000" w:sz="4" w:space="0"/>
            </w:tcBorders>
            <w:vAlign w:val="center"/>
          </w:tcPr>
          <w:p w14:paraId="36EFA019">
            <w:pPr>
              <w:spacing w:line="360" w:lineRule="auto"/>
              <w:rPr>
                <w:rFonts w:ascii="Times New Roman" w:hAnsi="Times New Roman" w:cs="Times New Roman"/>
                <w:color w:val="000000"/>
                <w:szCs w:val="21"/>
                <w:highlight w:val="none"/>
              </w:rPr>
            </w:pPr>
          </w:p>
        </w:tc>
        <w:tc>
          <w:tcPr>
            <w:tcW w:w="1693" w:type="dxa"/>
            <w:vMerge w:val="continue"/>
            <w:tcBorders>
              <w:top w:val="single" w:color="auto" w:sz="4" w:space="0"/>
              <w:left w:val="nil"/>
              <w:bottom w:val="single" w:color="auto" w:sz="4" w:space="0"/>
              <w:right w:val="single" w:color="auto" w:sz="4" w:space="0"/>
            </w:tcBorders>
            <w:vAlign w:val="center"/>
          </w:tcPr>
          <w:p w14:paraId="292EB357">
            <w:pPr>
              <w:spacing w:line="360" w:lineRule="auto"/>
              <w:rPr>
                <w:rFonts w:ascii="Times New Roman" w:hAnsi="Times New Roman" w:cs="Times New Roman"/>
                <w:color w:val="000000"/>
                <w:szCs w:val="21"/>
                <w:highlight w:val="none"/>
              </w:rPr>
            </w:pPr>
          </w:p>
        </w:tc>
        <w:tc>
          <w:tcPr>
            <w:tcW w:w="7295" w:type="dxa"/>
            <w:gridSpan w:val="3"/>
            <w:tcBorders>
              <w:top w:val="single" w:color="000000" w:sz="4" w:space="0"/>
              <w:left w:val="single" w:color="auto" w:sz="4" w:space="0"/>
              <w:bottom w:val="single" w:color="000000" w:sz="4" w:space="0"/>
              <w:right w:val="single" w:color="000000" w:sz="4" w:space="0"/>
            </w:tcBorders>
            <w:vAlign w:val="center"/>
          </w:tcPr>
          <w:p w14:paraId="4CA7760A">
            <w:pPr>
              <w:spacing w:line="360" w:lineRule="auto"/>
              <w:rPr>
                <w:rFonts w:ascii="Times New Roman" w:hAnsi="Times New Roman" w:cs="Times New Roman"/>
                <w:color w:val="000000"/>
                <w:szCs w:val="21"/>
                <w:highlight w:val="none"/>
              </w:rPr>
            </w:pPr>
            <w:r>
              <w:rPr>
                <w:rFonts w:ascii="Times New Roman" w:hAnsi="Times New Roman" w:cs="Times New Roman"/>
                <w:b/>
                <w:color w:val="000000"/>
                <w:szCs w:val="21"/>
                <w:highlight w:val="none"/>
              </w:rPr>
              <w:t>以上评审有一条不通过，则视为响应性评审标准不通过，不进入下一步评审，其</w:t>
            </w:r>
            <w:r>
              <w:rPr>
                <w:rFonts w:hint="eastAsia" w:ascii="Times New Roman" w:hAnsi="Times New Roman" w:cs="Times New Roman"/>
                <w:b/>
                <w:color w:val="000000"/>
                <w:szCs w:val="21"/>
                <w:highlight w:val="none"/>
              </w:rPr>
              <w:t>比选申请文件</w:t>
            </w:r>
            <w:r>
              <w:rPr>
                <w:rFonts w:ascii="Times New Roman" w:hAnsi="Times New Roman" w:cs="Times New Roman"/>
                <w:b/>
                <w:color w:val="000000"/>
                <w:szCs w:val="21"/>
                <w:highlight w:val="none"/>
              </w:rPr>
              <w:t>无效。</w:t>
            </w:r>
          </w:p>
        </w:tc>
      </w:tr>
      <w:tr w14:paraId="75BB7309">
        <w:tblPrEx>
          <w:tblCellMar>
            <w:top w:w="0" w:type="dxa"/>
            <w:left w:w="108" w:type="dxa"/>
            <w:bottom w:w="0" w:type="dxa"/>
            <w:right w:w="108" w:type="dxa"/>
          </w:tblCellMar>
        </w:tblPrEx>
        <w:trPr>
          <w:gridAfter w:val="1"/>
          <w:wAfter w:w="9" w:type="dxa"/>
          <w:trHeight w:val="413" w:hRule="atLeast"/>
          <w:jc w:val="center"/>
        </w:trPr>
        <w:tc>
          <w:tcPr>
            <w:tcW w:w="2544" w:type="dxa"/>
            <w:gridSpan w:val="2"/>
            <w:tcBorders>
              <w:top w:val="single" w:color="auto" w:sz="4" w:space="0"/>
              <w:left w:val="single" w:color="000000" w:sz="4" w:space="0"/>
              <w:bottom w:val="single" w:color="000000" w:sz="4" w:space="0"/>
              <w:right w:val="single" w:color="000000" w:sz="4" w:space="0"/>
            </w:tcBorders>
            <w:vAlign w:val="center"/>
          </w:tcPr>
          <w:p w14:paraId="710A475B">
            <w:pPr>
              <w:spacing w:line="440" w:lineRule="exact"/>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2</w:t>
            </w:r>
          </w:p>
        </w:tc>
        <w:tc>
          <w:tcPr>
            <w:tcW w:w="7295" w:type="dxa"/>
            <w:gridSpan w:val="3"/>
            <w:tcBorders>
              <w:top w:val="single" w:color="000000" w:sz="4" w:space="0"/>
              <w:left w:val="nil"/>
              <w:bottom w:val="single" w:color="000000" w:sz="4" w:space="0"/>
              <w:right w:val="single" w:color="000000" w:sz="4" w:space="0"/>
            </w:tcBorders>
            <w:vAlign w:val="center"/>
          </w:tcPr>
          <w:p w14:paraId="16BE8275">
            <w:pPr>
              <w:spacing w:line="440" w:lineRule="exact"/>
              <w:jc w:val="center"/>
              <w:rPr>
                <w:rFonts w:ascii="Times New Roman" w:hAnsi="Times New Roman" w:cs="Times New Roman"/>
                <w:b/>
                <w:color w:val="000000"/>
                <w:szCs w:val="21"/>
                <w:highlight w:val="none"/>
              </w:rPr>
            </w:pPr>
            <w:r>
              <w:rPr>
                <w:rFonts w:ascii="Times New Roman" w:hAnsi="Times New Roman" w:cs="Times New Roman"/>
                <w:b/>
                <w:szCs w:val="21"/>
                <w:highlight w:val="none"/>
              </w:rPr>
              <w:t>初步评审</w:t>
            </w:r>
          </w:p>
        </w:tc>
      </w:tr>
      <w:tr w14:paraId="1315DF6F">
        <w:tblPrEx>
          <w:tblCellMar>
            <w:top w:w="0" w:type="dxa"/>
            <w:left w:w="108" w:type="dxa"/>
            <w:bottom w:w="0" w:type="dxa"/>
            <w:right w:w="108" w:type="dxa"/>
          </w:tblCellMar>
        </w:tblPrEx>
        <w:trPr>
          <w:gridAfter w:val="1"/>
          <w:wAfter w:w="9" w:type="dxa"/>
          <w:trHeight w:val="413"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5EF587EB">
            <w:pPr>
              <w:spacing w:line="440" w:lineRule="exact"/>
              <w:jc w:val="center"/>
              <w:rPr>
                <w:rFonts w:ascii="Times New Roman" w:hAnsi="Times New Roman" w:cs="Times New Roman"/>
                <w:b/>
                <w:color w:val="000000"/>
                <w:szCs w:val="21"/>
                <w:highlight w:val="none"/>
              </w:rPr>
            </w:pPr>
            <w:r>
              <w:rPr>
                <w:rFonts w:ascii="Times New Roman" w:hAnsi="Times New Roman" w:cs="Times New Roman"/>
                <w:highlight w:val="none"/>
              </w:rPr>
              <w:t>2.1</w:t>
            </w:r>
          </w:p>
        </w:tc>
        <w:tc>
          <w:tcPr>
            <w:tcW w:w="1693" w:type="dxa"/>
            <w:tcBorders>
              <w:top w:val="single" w:color="000000" w:sz="4" w:space="0"/>
              <w:left w:val="single" w:color="000000" w:sz="4" w:space="0"/>
              <w:bottom w:val="single" w:color="000000" w:sz="4" w:space="0"/>
              <w:right w:val="single" w:color="000000" w:sz="4" w:space="0"/>
            </w:tcBorders>
            <w:vAlign w:val="center"/>
          </w:tcPr>
          <w:p w14:paraId="5CFF2C53">
            <w:pPr>
              <w:jc w:val="center"/>
              <w:rPr>
                <w:rFonts w:ascii="Times New Roman" w:hAnsi="Times New Roman" w:cs="Times New Roman"/>
                <w:b/>
                <w:color w:val="000000"/>
                <w:szCs w:val="21"/>
                <w:highlight w:val="none"/>
              </w:rPr>
            </w:pPr>
            <w:r>
              <w:rPr>
                <w:rFonts w:ascii="Times New Roman" w:hAnsi="Times New Roman" w:cs="Times New Roman"/>
                <w:szCs w:val="21"/>
                <w:highlight w:val="none"/>
              </w:rPr>
              <w:t>初步评审标准</w:t>
            </w:r>
          </w:p>
        </w:tc>
        <w:tc>
          <w:tcPr>
            <w:tcW w:w="7295" w:type="dxa"/>
            <w:gridSpan w:val="3"/>
            <w:tcBorders>
              <w:top w:val="single" w:color="000000" w:sz="4" w:space="0"/>
              <w:left w:val="nil"/>
              <w:bottom w:val="single" w:color="000000" w:sz="4" w:space="0"/>
              <w:right w:val="single" w:color="000000" w:sz="4" w:space="0"/>
            </w:tcBorders>
            <w:vAlign w:val="center"/>
          </w:tcPr>
          <w:p w14:paraId="669376B4">
            <w:pPr>
              <w:spacing w:line="360" w:lineRule="auto"/>
              <w:jc w:val="left"/>
              <w:rPr>
                <w:rFonts w:ascii="Times New Roman" w:hAnsi="Times New Roman" w:cs="Times New Roman"/>
                <w:szCs w:val="21"/>
                <w:highlight w:val="none"/>
              </w:rPr>
            </w:pPr>
            <w:r>
              <w:rPr>
                <w:rFonts w:ascii="Times New Roman" w:hAnsi="Times New Roman" w:cs="Times New Roman"/>
                <w:color w:val="000000"/>
                <w:highlight w:val="none"/>
              </w:rPr>
              <w:t>1、</w:t>
            </w:r>
            <w:r>
              <w:rPr>
                <w:rFonts w:ascii="Times New Roman" w:hAnsi="Times New Roman" w:cs="Times New Roman"/>
                <w:szCs w:val="21"/>
                <w:highlight w:val="none"/>
              </w:rPr>
              <w:t>通过形式评审、资格评审、响应性评审的</w:t>
            </w:r>
            <w:r>
              <w:rPr>
                <w:rFonts w:hint="eastAsia" w:ascii="Times New Roman" w:hAnsi="Times New Roman" w:cs="Times New Roman"/>
                <w:szCs w:val="21"/>
                <w:highlight w:val="none"/>
              </w:rPr>
              <w:t>比选申请文件通过</w:t>
            </w:r>
            <w:r>
              <w:rPr>
                <w:rFonts w:ascii="Times New Roman" w:hAnsi="Times New Roman" w:cs="Times New Roman"/>
                <w:szCs w:val="21"/>
                <w:highlight w:val="none"/>
              </w:rPr>
              <w:t>初步评审。</w:t>
            </w:r>
          </w:p>
          <w:p w14:paraId="6D9C73BC">
            <w:pPr>
              <w:spacing w:line="360" w:lineRule="auto"/>
              <w:jc w:val="left"/>
              <w:rPr>
                <w:rFonts w:ascii="Times New Roman" w:hAnsi="Times New Roman" w:cs="Times New Roman"/>
                <w:b/>
                <w:color w:val="000000"/>
                <w:szCs w:val="21"/>
                <w:highlight w:val="none"/>
              </w:rPr>
            </w:pPr>
            <w:r>
              <w:rPr>
                <w:rFonts w:ascii="Times New Roman" w:hAnsi="Times New Roman" w:cs="Times New Roman"/>
                <w:bCs/>
                <w:szCs w:val="21"/>
                <w:highlight w:val="none"/>
              </w:rPr>
              <w:t>2、当</w:t>
            </w:r>
            <w:r>
              <w:rPr>
                <w:rFonts w:hint="eastAsia" w:ascii="Times New Roman" w:hAnsi="Times New Roman" w:cs="Times New Roman"/>
                <w:bCs/>
                <w:szCs w:val="21"/>
                <w:highlight w:val="none"/>
              </w:rPr>
              <w:t>比选申请人比选申请</w:t>
            </w:r>
            <w:r>
              <w:rPr>
                <w:rFonts w:ascii="Times New Roman" w:hAnsi="Times New Roman" w:cs="Times New Roman"/>
                <w:bCs/>
                <w:szCs w:val="21"/>
                <w:highlight w:val="none"/>
              </w:rPr>
              <w:t>函中</w:t>
            </w:r>
            <w:r>
              <w:rPr>
                <w:rFonts w:ascii="Times New Roman" w:hAnsi="Times New Roman" w:cs="Times New Roman"/>
                <w:szCs w:val="21"/>
                <w:highlight w:val="none"/>
              </w:rPr>
              <w:t>填报的</w:t>
            </w:r>
            <w:r>
              <w:rPr>
                <w:rFonts w:hint="eastAsia" w:ascii="Times New Roman" w:hAnsi="Times New Roman" w:cs="Times New Roman"/>
                <w:szCs w:val="21"/>
                <w:highlight w:val="none"/>
              </w:rPr>
              <w:t>费率超过比选</w:t>
            </w:r>
            <w:r>
              <w:rPr>
                <w:rFonts w:ascii="Times New Roman" w:hAnsi="Times New Roman" w:cs="Times New Roman"/>
                <w:szCs w:val="21"/>
                <w:highlight w:val="none"/>
              </w:rPr>
              <w:t>文件中公布的最高</w:t>
            </w:r>
            <w:r>
              <w:rPr>
                <w:rFonts w:hint="eastAsia" w:ascii="Times New Roman" w:hAnsi="Times New Roman" w:cs="Times New Roman"/>
                <w:szCs w:val="21"/>
                <w:highlight w:val="none"/>
              </w:rPr>
              <w:t>比选申请</w:t>
            </w:r>
            <w:r>
              <w:rPr>
                <w:rFonts w:ascii="Times New Roman" w:hAnsi="Times New Roman" w:cs="Times New Roman"/>
                <w:szCs w:val="21"/>
                <w:highlight w:val="none"/>
              </w:rPr>
              <w:t>限价的</w:t>
            </w:r>
            <w:r>
              <w:rPr>
                <w:rFonts w:hint="eastAsia" w:ascii="Times New Roman" w:hAnsi="Times New Roman" w:cs="Times New Roman"/>
                <w:szCs w:val="21"/>
                <w:highlight w:val="none"/>
                <w:lang w:val="en-US" w:eastAsia="zh-CN"/>
              </w:rPr>
              <w:t>取费</w:t>
            </w:r>
            <w:r>
              <w:rPr>
                <w:rFonts w:hint="eastAsia" w:ascii="Times New Roman" w:hAnsi="Times New Roman" w:cs="Times New Roman"/>
                <w:szCs w:val="21"/>
                <w:highlight w:val="none"/>
              </w:rPr>
              <w:t>费率</w:t>
            </w:r>
            <w:r>
              <w:rPr>
                <w:rFonts w:ascii="Times New Roman" w:hAnsi="Times New Roman" w:cs="Times New Roman"/>
                <w:szCs w:val="21"/>
                <w:highlight w:val="none"/>
              </w:rPr>
              <w:t>，</w:t>
            </w:r>
            <w:r>
              <w:rPr>
                <w:rFonts w:hint="eastAsia" w:ascii="Times New Roman" w:hAnsi="Times New Roman" w:cs="Times New Roman"/>
                <w:b/>
                <w:szCs w:val="21"/>
                <w:highlight w:val="none"/>
                <w:lang w:eastAsia="zh-CN"/>
              </w:rPr>
              <w:t>评审</w:t>
            </w:r>
            <w:r>
              <w:rPr>
                <w:rFonts w:ascii="Times New Roman" w:hAnsi="Times New Roman" w:cs="Times New Roman"/>
                <w:b/>
                <w:szCs w:val="21"/>
                <w:highlight w:val="none"/>
              </w:rPr>
              <w:t>委员会应当否决其</w:t>
            </w:r>
            <w:r>
              <w:rPr>
                <w:rFonts w:hint="eastAsia" w:ascii="Times New Roman" w:hAnsi="Times New Roman" w:cs="Times New Roman"/>
                <w:b/>
                <w:szCs w:val="21"/>
                <w:highlight w:val="none"/>
              </w:rPr>
              <w:t>比选申请</w:t>
            </w:r>
            <w:r>
              <w:rPr>
                <w:rFonts w:ascii="Times New Roman" w:hAnsi="Times New Roman" w:cs="Times New Roman"/>
                <w:b/>
                <w:szCs w:val="21"/>
                <w:highlight w:val="none"/>
              </w:rPr>
              <w:t>。</w:t>
            </w:r>
          </w:p>
        </w:tc>
      </w:tr>
      <w:tr w14:paraId="534AA561">
        <w:tblPrEx>
          <w:tblCellMar>
            <w:top w:w="0" w:type="dxa"/>
            <w:left w:w="108" w:type="dxa"/>
            <w:bottom w:w="0" w:type="dxa"/>
            <w:right w:w="108" w:type="dxa"/>
          </w:tblCellMar>
        </w:tblPrEx>
        <w:trPr>
          <w:gridAfter w:val="1"/>
          <w:wAfter w:w="9" w:type="dxa"/>
          <w:trHeight w:val="416" w:hRule="atLeast"/>
          <w:jc w:val="center"/>
        </w:trPr>
        <w:tc>
          <w:tcPr>
            <w:tcW w:w="2544" w:type="dxa"/>
            <w:gridSpan w:val="2"/>
            <w:tcBorders>
              <w:left w:val="single" w:color="000000" w:sz="4" w:space="0"/>
              <w:bottom w:val="single" w:color="000000" w:sz="4" w:space="0"/>
              <w:right w:val="single" w:color="000000" w:sz="4" w:space="0"/>
            </w:tcBorders>
            <w:vAlign w:val="center"/>
          </w:tcPr>
          <w:p w14:paraId="712A5BE4">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3</w:t>
            </w:r>
          </w:p>
        </w:tc>
        <w:tc>
          <w:tcPr>
            <w:tcW w:w="7295" w:type="dxa"/>
            <w:gridSpan w:val="3"/>
            <w:tcBorders>
              <w:left w:val="nil"/>
              <w:bottom w:val="single" w:color="000000" w:sz="4" w:space="0"/>
              <w:right w:val="single" w:color="000000" w:sz="4" w:space="0"/>
            </w:tcBorders>
            <w:vAlign w:val="center"/>
          </w:tcPr>
          <w:p w14:paraId="38233BE2">
            <w:pPr>
              <w:spacing w:line="360" w:lineRule="auto"/>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分值构成与综合评分标准</w:t>
            </w:r>
          </w:p>
        </w:tc>
      </w:tr>
      <w:tr w14:paraId="0CEC06DC">
        <w:tblPrEx>
          <w:tblCellMar>
            <w:top w:w="0" w:type="dxa"/>
            <w:left w:w="108" w:type="dxa"/>
            <w:bottom w:w="0" w:type="dxa"/>
            <w:right w:w="108" w:type="dxa"/>
          </w:tblCellMar>
        </w:tblPrEx>
        <w:trPr>
          <w:gridAfter w:val="1"/>
          <w:wAfter w:w="9" w:type="dxa"/>
          <w:trHeight w:val="90" w:hRule="atLeast"/>
          <w:jc w:val="center"/>
        </w:trPr>
        <w:tc>
          <w:tcPr>
            <w:tcW w:w="851" w:type="dxa"/>
            <w:tcBorders>
              <w:top w:val="single" w:color="000000" w:sz="4" w:space="0"/>
              <w:left w:val="single" w:color="000000" w:sz="4" w:space="0"/>
              <w:bottom w:val="single" w:color="000000" w:sz="4" w:space="0"/>
              <w:right w:val="single" w:color="000000" w:sz="4" w:space="0"/>
            </w:tcBorders>
            <w:vAlign w:val="center"/>
          </w:tcPr>
          <w:p w14:paraId="06F97A1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w:t>
            </w:r>
          </w:p>
        </w:tc>
        <w:tc>
          <w:tcPr>
            <w:tcW w:w="1693" w:type="dxa"/>
            <w:tcBorders>
              <w:top w:val="single" w:color="000000" w:sz="4" w:space="0"/>
              <w:left w:val="single" w:color="000000" w:sz="4" w:space="0"/>
              <w:bottom w:val="single" w:color="000000" w:sz="4" w:space="0"/>
              <w:right w:val="single" w:color="000000" w:sz="4" w:space="0"/>
            </w:tcBorders>
            <w:vAlign w:val="center"/>
          </w:tcPr>
          <w:p w14:paraId="5107E44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分值构成</w:t>
            </w:r>
          </w:p>
          <w:p w14:paraId="118A414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(总分100分)</w:t>
            </w:r>
          </w:p>
        </w:tc>
        <w:tc>
          <w:tcPr>
            <w:tcW w:w="7295" w:type="dxa"/>
            <w:gridSpan w:val="3"/>
            <w:tcBorders>
              <w:top w:val="single" w:color="000000" w:sz="4" w:space="0"/>
              <w:left w:val="nil"/>
              <w:bottom w:val="single" w:color="000000" w:sz="4" w:space="0"/>
              <w:right w:val="single" w:color="000000" w:sz="4" w:space="0"/>
            </w:tcBorders>
            <w:vAlign w:val="center"/>
          </w:tcPr>
          <w:p w14:paraId="69603E34">
            <w:pPr>
              <w:spacing w:line="48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商务部分：30分</w:t>
            </w:r>
          </w:p>
          <w:p w14:paraId="2FA05CF0">
            <w:pPr>
              <w:spacing w:line="480" w:lineRule="exact"/>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技术部分：20分</w:t>
            </w:r>
          </w:p>
          <w:p w14:paraId="112A8D9F">
            <w:pPr>
              <w:spacing w:line="360" w:lineRule="auto"/>
              <w:rPr>
                <w:rFonts w:ascii="Times New Roman" w:hAnsi="Times New Roman" w:cs="Times New Roman"/>
                <w:color w:val="000000"/>
                <w:szCs w:val="21"/>
                <w:highlight w:val="none"/>
              </w:rPr>
            </w:pPr>
            <w:r>
              <w:rPr>
                <w:rFonts w:hint="eastAsia" w:ascii="宋体" w:hAnsi="宋体" w:cs="宋体"/>
                <w:bCs/>
                <w:color w:val="auto"/>
                <w:szCs w:val="21"/>
                <w:highlight w:val="none"/>
                <w:lang w:val="en-US" w:eastAsia="zh-CN"/>
              </w:rPr>
              <w:t>比选申请</w:t>
            </w:r>
            <w:r>
              <w:rPr>
                <w:rFonts w:hint="eastAsia" w:ascii="宋体" w:hAnsi="宋体" w:eastAsia="宋体" w:cs="宋体"/>
                <w:bCs/>
                <w:color w:val="auto"/>
                <w:szCs w:val="21"/>
                <w:highlight w:val="none"/>
                <w:lang w:val="en-US" w:eastAsia="zh-CN"/>
              </w:rPr>
              <w:t>报价：50分</w:t>
            </w:r>
          </w:p>
        </w:tc>
      </w:tr>
      <w:tr w14:paraId="6A1F5E70">
        <w:tblPrEx>
          <w:tblCellMar>
            <w:top w:w="0" w:type="dxa"/>
            <w:left w:w="108" w:type="dxa"/>
            <w:bottom w:w="0" w:type="dxa"/>
            <w:right w:w="108" w:type="dxa"/>
          </w:tblCellMar>
        </w:tblPrEx>
        <w:trPr>
          <w:gridAfter w:val="1"/>
          <w:wAfter w:w="9" w:type="dxa"/>
          <w:trHeight w:val="613" w:hRule="atLeast"/>
          <w:jc w:val="center"/>
        </w:trPr>
        <w:tc>
          <w:tcPr>
            <w:tcW w:w="2544" w:type="dxa"/>
            <w:gridSpan w:val="2"/>
            <w:tcBorders>
              <w:top w:val="single" w:color="000000" w:sz="4" w:space="0"/>
              <w:left w:val="single" w:color="000000" w:sz="4" w:space="0"/>
              <w:bottom w:val="single" w:color="000000" w:sz="4" w:space="0"/>
              <w:right w:val="single" w:color="000000" w:sz="4" w:space="0"/>
            </w:tcBorders>
            <w:vAlign w:val="center"/>
          </w:tcPr>
          <w:p w14:paraId="3EE84BC8">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条款号</w:t>
            </w:r>
          </w:p>
        </w:tc>
        <w:tc>
          <w:tcPr>
            <w:tcW w:w="1923" w:type="dxa"/>
            <w:tcBorders>
              <w:top w:val="single" w:color="auto" w:sz="4" w:space="0"/>
              <w:left w:val="nil"/>
              <w:bottom w:val="single" w:color="000000" w:sz="4" w:space="0"/>
              <w:right w:val="single" w:color="000000" w:sz="4" w:space="0"/>
            </w:tcBorders>
            <w:vAlign w:val="center"/>
          </w:tcPr>
          <w:p w14:paraId="0B4AF653">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评分因素</w:t>
            </w:r>
          </w:p>
        </w:tc>
        <w:tc>
          <w:tcPr>
            <w:tcW w:w="5372" w:type="dxa"/>
            <w:gridSpan w:val="2"/>
            <w:tcBorders>
              <w:top w:val="single" w:color="000000" w:sz="4" w:space="0"/>
              <w:left w:val="nil"/>
              <w:bottom w:val="single" w:color="000000" w:sz="4" w:space="0"/>
              <w:right w:val="single" w:color="000000" w:sz="4" w:space="0"/>
            </w:tcBorders>
            <w:vAlign w:val="center"/>
          </w:tcPr>
          <w:p w14:paraId="6A1DA327">
            <w:pPr>
              <w:jc w:val="center"/>
              <w:rPr>
                <w:rFonts w:ascii="Times New Roman" w:hAnsi="Times New Roman" w:cs="Times New Roman"/>
                <w:b/>
                <w:color w:val="000000"/>
                <w:szCs w:val="21"/>
                <w:highlight w:val="none"/>
              </w:rPr>
            </w:pPr>
            <w:r>
              <w:rPr>
                <w:rFonts w:ascii="Times New Roman" w:hAnsi="Times New Roman" w:cs="Times New Roman"/>
                <w:b/>
                <w:color w:val="000000"/>
                <w:szCs w:val="21"/>
                <w:highlight w:val="none"/>
              </w:rPr>
              <w:t>综合评分标准</w:t>
            </w:r>
          </w:p>
        </w:tc>
      </w:tr>
      <w:tr w14:paraId="1BA4E4CD">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left w:val="single" w:color="auto" w:sz="4" w:space="0"/>
              <w:bottom w:val="single" w:color="auto" w:sz="4" w:space="0"/>
              <w:right w:val="single" w:color="auto" w:sz="4" w:space="0"/>
            </w:tcBorders>
            <w:vAlign w:val="center"/>
          </w:tcPr>
          <w:p w14:paraId="4214414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3.1.1</w:t>
            </w:r>
          </w:p>
        </w:tc>
        <w:tc>
          <w:tcPr>
            <w:tcW w:w="1693" w:type="dxa"/>
            <w:vMerge w:val="restart"/>
            <w:tcBorders>
              <w:left w:val="single" w:color="auto" w:sz="4" w:space="0"/>
              <w:bottom w:val="single" w:color="auto" w:sz="4" w:space="0"/>
              <w:right w:val="single" w:color="000000" w:sz="4" w:space="0"/>
            </w:tcBorders>
            <w:vAlign w:val="center"/>
          </w:tcPr>
          <w:p w14:paraId="59868A2D">
            <w:pPr>
              <w:pStyle w:val="21"/>
              <w:jc w:val="center"/>
              <w:rPr>
                <w:highlight w:val="none"/>
              </w:rPr>
            </w:pPr>
            <w:r>
              <w:rPr>
                <w:rFonts w:hint="eastAsia" w:ascii="宋体" w:hAnsi="宋体" w:cs="宋体"/>
                <w:color w:val="auto"/>
                <w:kern w:val="2"/>
                <w:sz w:val="21"/>
                <w:szCs w:val="21"/>
                <w:highlight w:val="none"/>
                <w:lang w:val="en-US" w:eastAsia="zh-CN"/>
              </w:rPr>
              <w:t>商务部分</w:t>
            </w:r>
            <w:r>
              <w:rPr>
                <w:rFonts w:hint="eastAsia" w:ascii="宋体" w:hAnsi="宋体" w:cs="宋体"/>
                <w:color w:val="auto"/>
                <w:kern w:val="2"/>
                <w:sz w:val="21"/>
                <w:szCs w:val="21"/>
                <w:highlight w:val="none"/>
              </w:rPr>
              <w:t>（</w:t>
            </w: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0分）</w:t>
            </w:r>
          </w:p>
        </w:tc>
        <w:tc>
          <w:tcPr>
            <w:tcW w:w="1923" w:type="dxa"/>
            <w:tcBorders>
              <w:top w:val="single" w:color="000000" w:sz="4" w:space="0"/>
              <w:left w:val="nil"/>
              <w:bottom w:val="single" w:color="auto" w:sz="4" w:space="0"/>
              <w:right w:val="single" w:color="000000" w:sz="4" w:space="0"/>
            </w:tcBorders>
            <w:vAlign w:val="center"/>
          </w:tcPr>
          <w:p w14:paraId="6F79D17C">
            <w:pPr>
              <w:spacing w:line="360" w:lineRule="auto"/>
              <w:jc w:val="center"/>
              <w:rPr>
                <w:rFonts w:ascii="Times New Roman" w:hAnsi="Times New Roman" w:cs="Times New Roman"/>
                <w:color w:val="000000"/>
                <w:szCs w:val="21"/>
                <w:highlight w:val="none"/>
              </w:rPr>
            </w:pPr>
            <w:r>
              <w:rPr>
                <w:rFonts w:hint="eastAsia" w:ascii="宋体" w:hAnsi="宋体" w:cs="宋体"/>
                <w:color w:val="auto"/>
                <w:szCs w:val="21"/>
                <w:highlight w:val="none"/>
                <w:lang w:val="en-US" w:eastAsia="zh-CN"/>
              </w:rPr>
              <w:t>业绩情况</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20</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365F6673">
            <w:pPr>
              <w:numPr>
                <w:ilvl w:val="0"/>
                <w:numId w:val="0"/>
              </w:numPr>
              <w:spacing w:line="360" w:lineRule="auto"/>
              <w:ind w:firstLine="0" w:firstLineChars="0"/>
              <w:rPr>
                <w:rFonts w:hint="eastAsia" w:ascii="Calibri" w:hAnsi="Calibri" w:eastAsia="宋体" w:cs="Times New Roman"/>
                <w:color w:val="auto"/>
                <w:sz w:val="21"/>
                <w:szCs w:val="24"/>
                <w:highlight w:val="none"/>
                <w:lang w:val="en-US" w:eastAsia="zh-CN"/>
              </w:rPr>
            </w:pPr>
            <w:r>
              <w:rPr>
                <w:rFonts w:hint="eastAsia" w:ascii="Calibri" w:hAnsi="Calibri" w:eastAsia="宋体" w:cs="Times New Roman"/>
                <w:color w:val="auto"/>
                <w:sz w:val="21"/>
                <w:szCs w:val="24"/>
                <w:highlight w:val="none"/>
              </w:rPr>
              <w:t>满足资格审查</w:t>
            </w:r>
            <w:r>
              <w:rPr>
                <w:rFonts w:hint="eastAsia" w:ascii="Calibri" w:hAnsi="Calibri" w:eastAsia="宋体" w:cs="Times New Roman"/>
                <w:color w:val="auto"/>
                <w:sz w:val="21"/>
                <w:szCs w:val="24"/>
                <w:highlight w:val="none"/>
                <w:lang w:val="en-US" w:eastAsia="zh-CN"/>
              </w:rPr>
              <w:t>业绩得12分；</w:t>
            </w:r>
          </w:p>
          <w:p w14:paraId="622B875F">
            <w:pPr>
              <w:spacing w:line="360" w:lineRule="auto"/>
              <w:jc w:val="left"/>
              <w:rPr>
                <w:rFonts w:ascii="Times New Roman" w:hAnsi="Times New Roman" w:cs="Times New Roman"/>
                <w:color w:val="000000"/>
                <w:szCs w:val="21"/>
                <w:highlight w:val="none"/>
              </w:rPr>
            </w:pPr>
            <w:r>
              <w:rPr>
                <w:rFonts w:hint="eastAsia" w:ascii="Calibri" w:hAnsi="Calibri" w:eastAsia="宋体" w:cs="Times New Roman"/>
                <w:color w:val="auto"/>
                <w:sz w:val="21"/>
                <w:szCs w:val="24"/>
                <w:highlight w:val="none"/>
                <w:lang w:val="en-US" w:eastAsia="zh-CN"/>
              </w:rPr>
              <w:t>近三年（202</w:t>
            </w:r>
            <w:r>
              <w:rPr>
                <w:rFonts w:hint="eastAsia" w:cs="Times New Roman"/>
                <w:color w:val="auto"/>
                <w:sz w:val="21"/>
                <w:szCs w:val="24"/>
                <w:highlight w:val="none"/>
                <w:lang w:val="en-US" w:eastAsia="zh-CN"/>
              </w:rPr>
              <w:t>2</w:t>
            </w:r>
            <w:r>
              <w:rPr>
                <w:rFonts w:hint="eastAsia" w:ascii="Calibri" w:hAnsi="Calibri" w:eastAsia="宋体" w:cs="Times New Roman"/>
                <w:color w:val="auto"/>
                <w:sz w:val="21"/>
                <w:szCs w:val="24"/>
                <w:highlight w:val="none"/>
                <w:lang w:val="en-US" w:eastAsia="zh-CN"/>
              </w:rPr>
              <w:t>年1月1日起至</w:t>
            </w:r>
            <w:r>
              <w:rPr>
                <w:rFonts w:hint="eastAsia" w:cs="Times New Roman"/>
                <w:color w:val="auto"/>
                <w:sz w:val="21"/>
                <w:szCs w:val="24"/>
                <w:highlight w:val="none"/>
                <w:lang w:val="en-US" w:eastAsia="zh-CN"/>
              </w:rPr>
              <w:t>比选申请</w:t>
            </w:r>
            <w:r>
              <w:rPr>
                <w:rFonts w:hint="eastAsia" w:ascii="Calibri" w:hAnsi="Calibri" w:eastAsia="宋体" w:cs="Times New Roman"/>
                <w:color w:val="auto"/>
                <w:sz w:val="21"/>
                <w:szCs w:val="24"/>
                <w:highlight w:val="none"/>
                <w:lang w:val="en-US" w:eastAsia="zh-CN"/>
              </w:rPr>
              <w:t>截止日，以合同签订时间为准）每增加1个</w:t>
            </w:r>
            <w:r>
              <w:rPr>
                <w:rFonts w:hint="eastAsia" w:cs="Times New Roman"/>
                <w:color w:val="auto"/>
                <w:sz w:val="21"/>
                <w:szCs w:val="24"/>
                <w:highlight w:val="none"/>
                <w:lang w:val="en-US" w:eastAsia="zh-CN"/>
              </w:rPr>
              <w:t>在建或已完</w:t>
            </w:r>
            <w:r>
              <w:rPr>
                <w:rFonts w:hint="eastAsia" w:ascii="Calibri" w:hAnsi="Calibri" w:eastAsia="宋体" w:cs="Times New Roman"/>
                <w:color w:val="auto"/>
                <w:sz w:val="21"/>
                <w:szCs w:val="24"/>
                <w:highlight w:val="none"/>
                <w:lang w:val="en-US" w:eastAsia="zh-CN"/>
              </w:rPr>
              <w:t>的高速公路服务区充电站施工</w:t>
            </w:r>
            <w:r>
              <w:rPr>
                <w:rFonts w:hint="eastAsia" w:cs="Times New Roman"/>
                <w:color w:val="auto"/>
                <w:sz w:val="21"/>
                <w:szCs w:val="24"/>
                <w:highlight w:val="none"/>
                <w:lang w:val="en-US" w:eastAsia="zh-CN"/>
              </w:rPr>
              <w:t>业绩</w:t>
            </w:r>
            <w:r>
              <w:rPr>
                <w:rFonts w:hint="eastAsia" w:ascii="Calibri" w:hAnsi="Calibri" w:eastAsia="宋体" w:cs="Times New Roman"/>
                <w:color w:val="auto"/>
                <w:sz w:val="21"/>
                <w:szCs w:val="24"/>
                <w:highlight w:val="none"/>
                <w:lang w:val="en-US" w:eastAsia="zh-CN"/>
              </w:rPr>
              <w:t>，加2分，此项最多加8分</w:t>
            </w:r>
            <w:r>
              <w:rPr>
                <w:rFonts w:hint="eastAsia"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业绩数量按合同个数计</w:t>
            </w:r>
            <w:r>
              <w:rPr>
                <w:rFonts w:hint="eastAsia" w:ascii="Calibri" w:hAnsi="Calibri" w:eastAsia="宋体" w:cs="Times New Roman"/>
                <w:color w:val="auto"/>
                <w:sz w:val="21"/>
                <w:szCs w:val="24"/>
                <w:highlight w:val="none"/>
                <w:lang w:val="en-US" w:eastAsia="zh-CN"/>
              </w:rPr>
              <w:t>。</w:t>
            </w:r>
            <w:r>
              <w:rPr>
                <w:rFonts w:hint="eastAsia" w:ascii="宋体" w:hAnsi="宋体" w:eastAsia="宋体" w:cs="宋体"/>
                <w:color w:val="auto"/>
                <w:kern w:val="0"/>
                <w:szCs w:val="21"/>
                <w:highlight w:val="none"/>
                <w:lang w:val="en-US" w:eastAsia="zh-CN"/>
              </w:rPr>
              <w:t>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tc>
      </w:tr>
      <w:tr w14:paraId="2B043845">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top w:val="single" w:color="auto" w:sz="4" w:space="0"/>
              <w:left w:val="single" w:color="auto" w:sz="4" w:space="0"/>
              <w:bottom w:val="single" w:color="auto" w:sz="4" w:space="0"/>
              <w:right w:val="single" w:color="auto" w:sz="4" w:space="0"/>
            </w:tcBorders>
            <w:vAlign w:val="center"/>
          </w:tcPr>
          <w:p w14:paraId="4D1F22AE">
            <w:pPr>
              <w:spacing w:line="360" w:lineRule="auto"/>
              <w:jc w:val="left"/>
              <w:rPr>
                <w:rFonts w:ascii="Times New Roman" w:hAnsi="Times New Roman" w:cs="Times New Roman"/>
                <w:highlight w:val="none"/>
              </w:rPr>
            </w:pPr>
          </w:p>
        </w:tc>
        <w:tc>
          <w:tcPr>
            <w:tcW w:w="1693" w:type="dxa"/>
            <w:vMerge w:val="continue"/>
            <w:tcBorders>
              <w:top w:val="single" w:color="auto" w:sz="4" w:space="0"/>
              <w:left w:val="single" w:color="auto" w:sz="4" w:space="0"/>
              <w:bottom w:val="single" w:color="auto" w:sz="4" w:space="0"/>
              <w:right w:val="single" w:color="auto" w:sz="4" w:space="0"/>
            </w:tcBorders>
            <w:vAlign w:val="center"/>
          </w:tcPr>
          <w:p w14:paraId="745BBB68">
            <w:pPr>
              <w:spacing w:line="360" w:lineRule="auto"/>
              <w:jc w:val="left"/>
              <w:rPr>
                <w:rFonts w:ascii="Times New Roman" w:hAnsi="Times New Roman" w:cs="Times New Roman"/>
                <w:highlight w:val="none"/>
              </w:rPr>
            </w:pPr>
          </w:p>
        </w:tc>
        <w:tc>
          <w:tcPr>
            <w:tcW w:w="1923" w:type="dxa"/>
            <w:tcBorders>
              <w:top w:val="single" w:color="auto" w:sz="4" w:space="0"/>
              <w:left w:val="single" w:color="auto" w:sz="4" w:space="0"/>
              <w:bottom w:val="single" w:color="auto" w:sz="4" w:space="0"/>
              <w:right w:val="single" w:color="auto" w:sz="4" w:space="0"/>
            </w:tcBorders>
            <w:vAlign w:val="center"/>
          </w:tcPr>
          <w:p w14:paraId="149A943E">
            <w:pPr>
              <w:spacing w:line="360" w:lineRule="auto"/>
              <w:jc w:val="center"/>
              <w:rPr>
                <w:rFonts w:ascii="Times New Roman" w:hAnsi="Times New Roman" w:cs="Times New Roman"/>
                <w:highlight w:val="none"/>
              </w:rPr>
            </w:pPr>
            <w:r>
              <w:rPr>
                <w:rFonts w:hint="default" w:ascii="宋体" w:hAnsi="宋体" w:eastAsia="宋体" w:cs="宋体"/>
                <w:color w:val="auto"/>
                <w:szCs w:val="21"/>
                <w:highlight w:val="none"/>
                <w:lang w:val="en-US" w:eastAsia="zh-CN"/>
              </w:rPr>
              <w:t>团队能力及企业综合能力</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10</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5E892D72">
            <w:pPr>
              <w:widowControl/>
              <w:spacing w:line="480" w:lineRule="exact"/>
              <w:rPr>
                <w:rFonts w:hint="eastAsia"/>
                <w:color w:val="auto"/>
                <w:highlight w:val="none"/>
              </w:rPr>
            </w:pPr>
            <w:r>
              <w:rPr>
                <w:rFonts w:hint="eastAsia"/>
                <w:color w:val="auto"/>
                <w:highlight w:val="none"/>
              </w:rPr>
              <w:t>满足资格审查</w:t>
            </w:r>
            <w:r>
              <w:rPr>
                <w:rFonts w:hint="eastAsia"/>
                <w:color w:val="auto"/>
                <w:highlight w:val="none"/>
                <w:lang w:val="en-US" w:eastAsia="zh-CN"/>
              </w:rPr>
              <w:t>要求</w:t>
            </w:r>
            <w:r>
              <w:rPr>
                <w:rFonts w:hint="eastAsia"/>
                <w:color w:val="auto"/>
                <w:highlight w:val="none"/>
              </w:rPr>
              <w:t>得</w:t>
            </w:r>
            <w:r>
              <w:rPr>
                <w:rFonts w:hint="eastAsia"/>
                <w:color w:val="auto"/>
                <w:highlight w:val="none"/>
                <w:lang w:val="en-US" w:eastAsia="zh-CN"/>
              </w:rPr>
              <w:t>6</w:t>
            </w:r>
            <w:r>
              <w:rPr>
                <w:rFonts w:hint="eastAsia"/>
                <w:color w:val="auto"/>
                <w:highlight w:val="none"/>
              </w:rPr>
              <w:t>分；</w:t>
            </w:r>
          </w:p>
          <w:p w14:paraId="5DD309A7">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项目经理同时具有工程类工程师及以上职称得1分；</w:t>
            </w:r>
          </w:p>
          <w:p w14:paraId="039109E4">
            <w:pPr>
              <w:widowControl/>
              <w:numPr>
                <w:ilvl w:val="0"/>
                <w:numId w:val="6"/>
              </w:numPr>
              <w:spacing w:line="480" w:lineRule="exact"/>
              <w:rPr>
                <w:rFonts w:hint="eastAsia"/>
                <w:color w:val="auto"/>
                <w:highlight w:val="none"/>
                <w:lang w:val="en-US" w:eastAsia="zh-CN"/>
              </w:rPr>
            </w:pPr>
            <w:r>
              <w:rPr>
                <w:rFonts w:hint="eastAsia"/>
                <w:color w:val="auto"/>
                <w:highlight w:val="none"/>
                <w:lang w:val="en-US" w:eastAsia="zh-CN"/>
              </w:rPr>
              <w:t>项目经理在近三年（2022年1月1日起至比选申请截止日，以合同签订时间为准）每具有1个在建或已完的高速公路服务区充电站施工项目经理业绩，加1分，</w:t>
            </w:r>
            <w:r>
              <w:rPr>
                <w:rFonts w:hint="eastAsia" w:ascii="宋体" w:hAnsi="宋体" w:cs="宋体"/>
                <w:color w:val="auto"/>
                <w:kern w:val="0"/>
                <w:szCs w:val="21"/>
                <w:highlight w:val="none"/>
                <w:lang w:val="en-US" w:eastAsia="zh-CN"/>
              </w:rPr>
              <w:t>本小项最多</w:t>
            </w:r>
            <w:r>
              <w:rPr>
                <w:rFonts w:hint="eastAsia"/>
                <w:color w:val="auto"/>
                <w:highlight w:val="none"/>
                <w:lang w:val="en-US" w:eastAsia="zh-CN"/>
              </w:rPr>
              <w:t>加3分；</w:t>
            </w:r>
          </w:p>
          <w:p w14:paraId="3067402F">
            <w:pPr>
              <w:spacing w:line="360" w:lineRule="auto"/>
              <w:jc w:val="left"/>
              <w:rPr>
                <w:rFonts w:ascii="Times New Roman" w:hAnsi="Times New Roman" w:cs="Times New Roman"/>
                <w:highlight w:val="none"/>
              </w:rPr>
            </w:pPr>
            <w:r>
              <w:rPr>
                <w:rFonts w:hint="eastAsia" w:cs="Times New Roman"/>
                <w:color w:val="auto"/>
                <w:kern w:val="2"/>
                <w:szCs w:val="24"/>
                <w:highlight w:val="none"/>
                <w:lang w:val="en-US" w:eastAsia="zh-CN" w:bidi="ar"/>
              </w:rPr>
              <w:t>注：人员</w:t>
            </w:r>
            <w:r>
              <w:rPr>
                <w:rFonts w:hint="eastAsia" w:ascii="Calibri" w:hAnsi="Calibri" w:eastAsia="宋体" w:cs="Times New Roman"/>
                <w:color w:val="auto"/>
                <w:kern w:val="2"/>
                <w:szCs w:val="24"/>
                <w:highlight w:val="none"/>
                <w:lang w:eastAsia="zh-CN" w:bidi="ar"/>
              </w:rPr>
              <w:t>业绩</w:t>
            </w:r>
            <w:r>
              <w:rPr>
                <w:rFonts w:hint="eastAsia" w:ascii="Calibri" w:hAnsi="Calibri" w:eastAsia="宋体" w:cs="Times New Roman"/>
                <w:color w:val="auto"/>
                <w:kern w:val="2"/>
                <w:szCs w:val="24"/>
                <w:highlight w:val="none"/>
                <w:lang w:val="en-US" w:eastAsia="zh-CN"/>
              </w:rPr>
              <w:t>证明材料</w:t>
            </w:r>
            <w:r>
              <w:rPr>
                <w:rFonts w:hint="eastAsia" w:cs="Times New Roman"/>
                <w:color w:val="auto"/>
                <w:kern w:val="2"/>
                <w:szCs w:val="24"/>
                <w:highlight w:val="none"/>
                <w:lang w:val="en-US" w:eastAsia="zh-CN"/>
              </w:rPr>
              <w:t>为</w:t>
            </w:r>
            <w:r>
              <w:rPr>
                <w:rFonts w:hint="eastAsia" w:ascii="宋体" w:hAnsi="宋体" w:eastAsia="宋体" w:cs="宋体"/>
                <w:color w:val="auto"/>
                <w:kern w:val="0"/>
                <w:szCs w:val="21"/>
                <w:highlight w:val="none"/>
                <w:lang w:val="en-US" w:eastAsia="zh-CN"/>
              </w:rPr>
              <w:t>合同协议书</w:t>
            </w:r>
            <w:r>
              <w:rPr>
                <w:rFonts w:hint="eastAsia" w:ascii="宋体" w:hAnsi="宋体" w:cs="宋体"/>
                <w:color w:val="auto"/>
                <w:kern w:val="0"/>
                <w:szCs w:val="21"/>
                <w:highlight w:val="none"/>
                <w:lang w:val="en-US" w:eastAsia="zh-CN"/>
              </w:rPr>
              <w:t>，业绩数量按合同个数计，</w:t>
            </w:r>
            <w:r>
              <w:rPr>
                <w:rFonts w:hint="eastAsia" w:ascii="Calibri" w:hAnsi="Calibri" w:eastAsia="宋体" w:cs="Times New Roman"/>
                <w:color w:val="auto"/>
                <w:kern w:val="2"/>
                <w:szCs w:val="24"/>
                <w:highlight w:val="none"/>
                <w:lang w:val="en-US" w:eastAsia="zh-CN"/>
              </w:rPr>
              <w:t>须能清晰</w:t>
            </w:r>
            <w:r>
              <w:rPr>
                <w:rFonts w:hint="eastAsia" w:cs="Times New Roman"/>
                <w:color w:val="auto"/>
                <w:kern w:val="2"/>
                <w:szCs w:val="24"/>
                <w:highlight w:val="none"/>
                <w:lang w:val="en-US" w:eastAsia="zh-CN"/>
              </w:rPr>
              <w:t>反映其</w:t>
            </w:r>
            <w:r>
              <w:rPr>
                <w:rFonts w:hint="eastAsia" w:ascii="Calibri" w:hAnsi="Calibri" w:eastAsia="宋体" w:cs="Times New Roman"/>
                <w:color w:val="auto"/>
                <w:kern w:val="2"/>
                <w:szCs w:val="24"/>
                <w:highlight w:val="none"/>
                <w:lang w:val="en-US" w:eastAsia="zh-CN"/>
              </w:rPr>
              <w:t>在类似项目中担任的职务。</w:t>
            </w:r>
          </w:p>
        </w:tc>
      </w:tr>
      <w:tr w14:paraId="706498DE">
        <w:tblPrEx>
          <w:tblCellMar>
            <w:top w:w="0" w:type="dxa"/>
            <w:left w:w="108" w:type="dxa"/>
            <w:bottom w:w="0" w:type="dxa"/>
            <w:right w:w="108" w:type="dxa"/>
          </w:tblCellMar>
        </w:tblPrEx>
        <w:trPr>
          <w:gridAfter w:val="1"/>
          <w:wAfter w:w="9" w:type="dxa"/>
          <w:trHeight w:val="661" w:hRule="atLeast"/>
          <w:jc w:val="center"/>
        </w:trPr>
        <w:tc>
          <w:tcPr>
            <w:tcW w:w="851" w:type="dxa"/>
            <w:vMerge w:val="restart"/>
            <w:tcBorders>
              <w:top w:val="single" w:color="auto" w:sz="4" w:space="0"/>
              <w:left w:val="single" w:color="auto" w:sz="4" w:space="0"/>
              <w:right w:val="single" w:color="auto" w:sz="4" w:space="0"/>
            </w:tcBorders>
            <w:vAlign w:val="center"/>
          </w:tcPr>
          <w:p w14:paraId="3BD8283E">
            <w:pPr>
              <w:spacing w:line="360" w:lineRule="auto"/>
              <w:jc w:val="left"/>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3.1.2</w:t>
            </w:r>
          </w:p>
        </w:tc>
        <w:tc>
          <w:tcPr>
            <w:tcW w:w="1693" w:type="dxa"/>
            <w:vMerge w:val="restart"/>
            <w:tcBorders>
              <w:top w:val="single" w:color="auto" w:sz="4" w:space="0"/>
              <w:left w:val="single" w:color="auto" w:sz="4" w:space="0"/>
              <w:right w:val="single" w:color="auto" w:sz="4" w:space="0"/>
            </w:tcBorders>
            <w:vAlign w:val="center"/>
          </w:tcPr>
          <w:p w14:paraId="11289116">
            <w:pPr>
              <w:spacing w:line="360" w:lineRule="auto"/>
              <w:jc w:val="center"/>
              <w:rPr>
                <w:rFonts w:hint="default" w:ascii="Times New Roman" w:hAnsi="Times New Roman" w:cs="Times New Roman"/>
                <w:highlight w:val="none"/>
                <w:lang w:val="en-US"/>
              </w:rPr>
            </w:pPr>
            <w:r>
              <w:rPr>
                <w:rFonts w:hint="eastAsia" w:ascii="宋体" w:hAnsi="宋体" w:cs="宋体"/>
                <w:color w:val="auto"/>
                <w:szCs w:val="21"/>
                <w:highlight w:val="none"/>
                <w:lang w:val="en-US" w:eastAsia="zh-CN"/>
              </w:rPr>
              <w:t>技术部分（20分）</w:t>
            </w:r>
          </w:p>
        </w:tc>
        <w:tc>
          <w:tcPr>
            <w:tcW w:w="1923" w:type="dxa"/>
            <w:tcBorders>
              <w:top w:val="single" w:color="auto" w:sz="4" w:space="0"/>
              <w:left w:val="single" w:color="auto" w:sz="4" w:space="0"/>
              <w:bottom w:val="single" w:color="auto" w:sz="4" w:space="0"/>
              <w:right w:val="single" w:color="auto" w:sz="4" w:space="0"/>
            </w:tcBorders>
            <w:vAlign w:val="center"/>
          </w:tcPr>
          <w:p w14:paraId="457B9900">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内容完整性和编制水平</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2</w:t>
            </w:r>
            <w:r>
              <w:rPr>
                <w:rFonts w:ascii="Times New Roman" w:hAnsi="Times New Roman" w:cs="Times New Roman"/>
                <w:szCs w:val="21"/>
                <w:highlight w:val="none"/>
              </w:rPr>
              <w:t>分）</w:t>
            </w:r>
          </w:p>
        </w:tc>
        <w:tc>
          <w:tcPr>
            <w:tcW w:w="5372" w:type="dxa"/>
            <w:gridSpan w:val="2"/>
            <w:tcBorders>
              <w:top w:val="single" w:color="auto" w:sz="4" w:space="0"/>
              <w:left w:val="single" w:color="auto" w:sz="4" w:space="0"/>
              <w:bottom w:val="single" w:color="auto" w:sz="4" w:space="0"/>
              <w:right w:val="single" w:color="auto" w:sz="4" w:space="0"/>
            </w:tcBorders>
            <w:vAlign w:val="center"/>
          </w:tcPr>
          <w:p w14:paraId="6DD694C7">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结合本项目实际要求编制完整、科学、具有针对性的</w:t>
            </w:r>
            <w:r>
              <w:rPr>
                <w:rFonts w:hint="eastAsia" w:ascii="宋体" w:hAnsi="宋体" w:eastAsia="宋体" w:cs="宋体"/>
                <w:color w:val="auto"/>
                <w:szCs w:val="21"/>
                <w:highlight w:val="none"/>
                <w:lang w:val="en-US" w:eastAsia="zh-CN"/>
              </w:rPr>
              <w:t>施工组织设计</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ascii="宋体" w:hAnsi="宋体" w:eastAsia="宋体" w:cs="宋体"/>
                <w:color w:val="auto"/>
                <w:szCs w:val="21"/>
                <w:highlight w:val="none"/>
              </w:rPr>
              <w:t>-2.0</w:t>
            </w:r>
            <w:r>
              <w:rPr>
                <w:rFonts w:hint="eastAsia" w:ascii="宋体" w:hAnsi="宋体" w:eastAsia="宋体" w:cs="宋体"/>
                <w:color w:val="auto"/>
                <w:szCs w:val="21"/>
                <w:highlight w:val="none"/>
              </w:rPr>
              <w:t>分；一般：1.2</w:t>
            </w:r>
            <w:r>
              <w:rPr>
                <w:rFonts w:ascii="宋体" w:hAnsi="宋体" w:eastAsia="宋体" w:cs="宋体"/>
                <w:color w:val="auto"/>
                <w:szCs w:val="21"/>
                <w:highlight w:val="none"/>
              </w:rPr>
              <w:t>-1</w:t>
            </w:r>
            <w:r>
              <w:rPr>
                <w:rFonts w:hint="eastAsia" w:ascii="宋体" w:hAnsi="宋体" w:eastAsia="宋体" w:cs="宋体"/>
                <w:color w:val="auto"/>
                <w:szCs w:val="21"/>
                <w:highlight w:val="none"/>
              </w:rPr>
              <w:t>.5分，未提供不得分。注：保留一位小数。</w:t>
            </w:r>
          </w:p>
        </w:tc>
      </w:tr>
      <w:tr w14:paraId="60F864FB">
        <w:tblPrEx>
          <w:tblCellMar>
            <w:top w:w="0" w:type="dxa"/>
            <w:left w:w="108" w:type="dxa"/>
            <w:bottom w:w="0" w:type="dxa"/>
            <w:right w:w="108" w:type="dxa"/>
          </w:tblCellMar>
        </w:tblPrEx>
        <w:trPr>
          <w:gridAfter w:val="1"/>
          <w:wAfter w:w="9" w:type="dxa"/>
          <w:trHeight w:val="1852" w:hRule="atLeast"/>
          <w:jc w:val="center"/>
        </w:trPr>
        <w:tc>
          <w:tcPr>
            <w:tcW w:w="851" w:type="dxa"/>
            <w:vMerge w:val="continue"/>
            <w:tcBorders>
              <w:left w:val="single" w:color="auto" w:sz="4" w:space="0"/>
              <w:right w:val="single" w:color="auto" w:sz="4" w:space="0"/>
            </w:tcBorders>
            <w:vAlign w:val="center"/>
          </w:tcPr>
          <w:p w14:paraId="1A3895FB">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561DB00B">
            <w:pPr>
              <w:spacing w:line="360" w:lineRule="auto"/>
              <w:jc w:val="left"/>
              <w:rPr>
                <w:rFonts w:ascii="Times New Roman" w:hAnsi="Times New Roman" w:cs="Times New Roman"/>
                <w:highlight w:val="none"/>
              </w:rPr>
            </w:pPr>
          </w:p>
        </w:tc>
        <w:tc>
          <w:tcPr>
            <w:tcW w:w="1923" w:type="dxa"/>
            <w:tcBorders>
              <w:top w:val="single" w:color="auto" w:sz="4" w:space="0"/>
              <w:left w:val="nil"/>
              <w:bottom w:val="single" w:color="000000" w:sz="4" w:space="0"/>
              <w:right w:val="single" w:color="000000" w:sz="4" w:space="0"/>
            </w:tcBorders>
            <w:vAlign w:val="center"/>
          </w:tcPr>
          <w:p w14:paraId="4FD39906">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施工方案与技术措施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auto" w:sz="4" w:space="0"/>
              <w:left w:val="nil"/>
              <w:bottom w:val="single" w:color="000000" w:sz="4" w:space="0"/>
              <w:right w:val="single" w:color="000000" w:sz="4" w:space="0"/>
            </w:tcBorders>
            <w:vAlign w:val="center"/>
          </w:tcPr>
          <w:p w14:paraId="08991131">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对本工程的难点、重点的分析把握是否准确，提出的施工方案与技术措施是否符合本工程实际，是否具有针对性，</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94405F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F743078">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236D2909">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377CC06C">
            <w:pPr>
              <w:spacing w:line="360" w:lineRule="auto"/>
              <w:jc w:val="center"/>
              <w:rPr>
                <w:rFonts w:ascii="Times New Roman" w:hAnsi="Times New Roman" w:cs="Times New Roman"/>
                <w:highlight w:val="none"/>
              </w:rPr>
            </w:pPr>
            <w:r>
              <w:rPr>
                <w:rFonts w:hint="eastAsia" w:ascii="宋体" w:hAnsi="宋体" w:eastAsia="宋体" w:cs="宋体"/>
                <w:color w:val="auto"/>
                <w:szCs w:val="21"/>
                <w:highlight w:val="none"/>
              </w:rPr>
              <w:t>质量管理体系与措施</w:t>
            </w:r>
            <w:r>
              <w:rPr>
                <w:rFonts w:ascii="Times New Roman" w:hAnsi="Times New Roman" w:cs="Times New Roman"/>
                <w:szCs w:val="21"/>
                <w:highlight w:val="none"/>
              </w:rPr>
              <w:t>（</w:t>
            </w:r>
            <w:r>
              <w:rPr>
                <w:rFonts w:hint="eastAsia" w:ascii="Times New Roman" w:hAnsi="Times New Roman" w:cs="Times New Roman"/>
                <w:szCs w:val="21"/>
                <w:highlight w:val="none"/>
                <w:lang w:val="en-US" w:eastAsia="zh-CN"/>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5D9274B8">
            <w:pPr>
              <w:spacing w:line="360" w:lineRule="auto"/>
              <w:jc w:val="left"/>
              <w:rPr>
                <w:rFonts w:ascii="Times New Roman" w:hAnsi="Times New Roman" w:cs="Times New Roman"/>
                <w:highlight w:val="none"/>
              </w:rPr>
            </w:pPr>
            <w:r>
              <w:rPr>
                <w:rFonts w:hint="eastAsia" w:ascii="宋体" w:hAnsi="宋体" w:eastAsia="宋体" w:cs="宋体"/>
                <w:color w:val="auto"/>
                <w:szCs w:val="21"/>
                <w:highlight w:val="none"/>
              </w:rPr>
              <w:t>质量管理体系与措施是否详尽、合理，重要部位控制措施是否满足工程需要，目标质量控制是否满足</w:t>
            </w:r>
            <w:r>
              <w:rPr>
                <w:rFonts w:hint="eastAsia" w:ascii="宋体" w:hAnsi="宋体" w:cs="宋体"/>
                <w:color w:val="auto"/>
                <w:szCs w:val="21"/>
                <w:highlight w:val="none"/>
                <w:lang w:val="en-US" w:eastAsia="zh-CN"/>
              </w:rPr>
              <w:t>比选</w:t>
            </w:r>
            <w:r>
              <w:rPr>
                <w:rFonts w:hint="eastAsia" w:ascii="宋体" w:hAnsi="宋体" w:eastAsia="宋体" w:cs="宋体"/>
                <w:color w:val="auto"/>
                <w:szCs w:val="21"/>
                <w:highlight w:val="none"/>
              </w:rPr>
              <w:t>文件规定，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0E84FDB1">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AE1909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3C650D4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9932C2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44FA94D">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安全管理体系和措施是否健全、详尽、合理，是否满足本工程有关</w:t>
            </w:r>
            <w:r>
              <w:rPr>
                <w:rFonts w:hint="eastAsia" w:ascii="宋体" w:hAnsi="宋体" w:eastAsia="宋体" w:cs="宋体"/>
                <w:color w:val="auto"/>
                <w:szCs w:val="21"/>
                <w:highlight w:val="none"/>
                <w:lang w:val="en-US" w:eastAsia="zh-CN"/>
              </w:rPr>
              <w:t>安全目标和</w:t>
            </w:r>
            <w:r>
              <w:rPr>
                <w:rFonts w:hint="eastAsia" w:ascii="宋体" w:hAnsi="宋体" w:eastAsia="宋体" w:cs="宋体"/>
                <w:color w:val="auto"/>
                <w:szCs w:val="21"/>
                <w:highlight w:val="none"/>
              </w:rPr>
              <w:t>安全要求的规定，</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DA7360F">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7C605B5A">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1637F1E8">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8A82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0B638179">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lang w:val="en-US" w:eastAsia="zh-CN"/>
              </w:rPr>
              <w:t>环保与文明施工计划</w:t>
            </w:r>
            <w:r>
              <w:rPr>
                <w:rFonts w:hint="eastAsia" w:ascii="宋体" w:hAnsi="宋体" w:eastAsia="宋体" w:cs="宋体"/>
                <w:color w:val="auto"/>
                <w:szCs w:val="21"/>
                <w:highlight w:val="none"/>
              </w:rPr>
              <w:t>与措施是否详尽、合理，是否满足本工程有关</w:t>
            </w:r>
            <w:r>
              <w:rPr>
                <w:rFonts w:hint="eastAsia" w:ascii="宋体" w:hAnsi="宋体" w:eastAsia="宋体" w:cs="宋体"/>
                <w:color w:val="auto"/>
                <w:szCs w:val="21"/>
                <w:highlight w:val="none"/>
                <w:lang w:val="en-US" w:eastAsia="zh-CN"/>
              </w:rPr>
              <w:t>文明施工</w:t>
            </w:r>
            <w:r>
              <w:rPr>
                <w:rFonts w:hint="eastAsia" w:ascii="宋体" w:hAnsi="宋体" w:eastAsia="宋体" w:cs="宋体"/>
                <w:color w:val="auto"/>
                <w:szCs w:val="21"/>
                <w:highlight w:val="none"/>
              </w:rPr>
              <w:t>要求的规定，</w:t>
            </w:r>
            <w:r>
              <w:rPr>
                <w:rFonts w:hint="eastAsia" w:ascii="宋体" w:hAnsi="宋体" w:eastAsia="宋体" w:cs="宋体"/>
                <w:color w:val="auto"/>
                <w:szCs w:val="21"/>
                <w:highlight w:val="none"/>
                <w:lang w:val="en-US" w:eastAsia="zh-CN"/>
              </w:rPr>
              <w:t>内容应包含</w:t>
            </w:r>
            <w:r>
              <w:rPr>
                <w:rFonts w:hint="default" w:ascii="宋体" w:hAnsi="宋体" w:eastAsia="宋体" w:cs="宋体"/>
                <w:color w:val="auto"/>
                <w:szCs w:val="21"/>
                <w:highlight w:val="none"/>
              </w:rPr>
              <w:t>施工弃渣的处理措施</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3E2F09F0">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right w:val="single" w:color="auto" w:sz="4" w:space="0"/>
            </w:tcBorders>
            <w:vAlign w:val="center"/>
          </w:tcPr>
          <w:p w14:paraId="5C78B4ED">
            <w:pPr>
              <w:spacing w:line="360" w:lineRule="auto"/>
              <w:jc w:val="left"/>
              <w:rPr>
                <w:rFonts w:ascii="Times New Roman" w:hAnsi="Times New Roman" w:cs="Times New Roman"/>
                <w:highlight w:val="none"/>
              </w:rPr>
            </w:pPr>
          </w:p>
        </w:tc>
        <w:tc>
          <w:tcPr>
            <w:tcW w:w="1693" w:type="dxa"/>
            <w:vMerge w:val="continue"/>
            <w:tcBorders>
              <w:left w:val="single" w:color="auto" w:sz="4" w:space="0"/>
              <w:right w:val="single" w:color="auto" w:sz="4" w:space="0"/>
            </w:tcBorders>
            <w:vAlign w:val="center"/>
          </w:tcPr>
          <w:p w14:paraId="78070DCD">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4D7A3369">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工程进度计划与措施</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1B13B74A">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总进度计划及施工进度控制是否切实可行，保证措施是否科学可靠，各阶段工期控制是否合理、均衡，网络图和横道图安排是否一致、有序，关键线路是否明确、清晰、严谨，</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21140FB8">
        <w:tblPrEx>
          <w:tblCellMar>
            <w:top w:w="0" w:type="dxa"/>
            <w:left w:w="108" w:type="dxa"/>
            <w:bottom w:w="0" w:type="dxa"/>
            <w:right w:w="108" w:type="dxa"/>
          </w:tblCellMar>
        </w:tblPrEx>
        <w:trPr>
          <w:gridAfter w:val="1"/>
          <w:wAfter w:w="9" w:type="dxa"/>
          <w:trHeight w:val="661" w:hRule="atLeast"/>
          <w:jc w:val="center"/>
        </w:trPr>
        <w:tc>
          <w:tcPr>
            <w:tcW w:w="851" w:type="dxa"/>
            <w:vMerge w:val="continue"/>
            <w:tcBorders>
              <w:left w:val="single" w:color="auto" w:sz="4" w:space="0"/>
              <w:bottom w:val="single" w:color="auto" w:sz="4" w:space="0"/>
              <w:right w:val="single" w:color="auto" w:sz="4" w:space="0"/>
            </w:tcBorders>
            <w:vAlign w:val="center"/>
          </w:tcPr>
          <w:p w14:paraId="0B5B5DA6">
            <w:pPr>
              <w:spacing w:line="360" w:lineRule="auto"/>
              <w:jc w:val="left"/>
              <w:rPr>
                <w:rFonts w:ascii="Times New Roman" w:hAnsi="Times New Roman" w:cs="Times New Roman"/>
                <w:highlight w:val="none"/>
              </w:rPr>
            </w:pPr>
          </w:p>
        </w:tc>
        <w:tc>
          <w:tcPr>
            <w:tcW w:w="1693" w:type="dxa"/>
            <w:vMerge w:val="continue"/>
            <w:tcBorders>
              <w:left w:val="single" w:color="auto" w:sz="4" w:space="0"/>
              <w:bottom w:val="single" w:color="000000" w:sz="4" w:space="0"/>
              <w:right w:val="single" w:color="auto" w:sz="4" w:space="0"/>
            </w:tcBorders>
            <w:vAlign w:val="center"/>
          </w:tcPr>
          <w:p w14:paraId="7F8876A4">
            <w:pPr>
              <w:spacing w:line="360" w:lineRule="auto"/>
              <w:jc w:val="left"/>
              <w:rPr>
                <w:rFonts w:ascii="Times New Roman" w:hAnsi="Times New Roman" w:cs="Times New Roman"/>
                <w:highlight w:val="none"/>
              </w:rPr>
            </w:pPr>
          </w:p>
        </w:tc>
        <w:tc>
          <w:tcPr>
            <w:tcW w:w="1923" w:type="dxa"/>
            <w:tcBorders>
              <w:top w:val="single" w:color="000000" w:sz="4" w:space="0"/>
              <w:left w:val="nil"/>
              <w:bottom w:val="single" w:color="auto" w:sz="4" w:space="0"/>
              <w:right w:val="single" w:color="000000" w:sz="4" w:space="0"/>
            </w:tcBorders>
            <w:vAlign w:val="center"/>
          </w:tcPr>
          <w:p w14:paraId="7515C5C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资源配备计划</w:t>
            </w: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分）</w:t>
            </w:r>
          </w:p>
        </w:tc>
        <w:tc>
          <w:tcPr>
            <w:tcW w:w="5372" w:type="dxa"/>
            <w:gridSpan w:val="2"/>
            <w:tcBorders>
              <w:top w:val="single" w:color="000000" w:sz="4" w:space="0"/>
              <w:left w:val="nil"/>
              <w:bottom w:val="single" w:color="auto" w:sz="4" w:space="0"/>
              <w:right w:val="single" w:color="000000" w:sz="4" w:space="0"/>
            </w:tcBorders>
            <w:vAlign w:val="center"/>
          </w:tcPr>
          <w:p w14:paraId="47C86631">
            <w:pPr>
              <w:spacing w:line="360" w:lineRule="auto"/>
              <w:jc w:val="left"/>
              <w:rPr>
                <w:rFonts w:ascii="Times New Roman" w:hAnsi="Times New Roman" w:cs="Times New Roman"/>
                <w:szCs w:val="21"/>
                <w:highlight w:val="none"/>
              </w:rPr>
            </w:pPr>
            <w:r>
              <w:rPr>
                <w:rFonts w:hint="eastAsia" w:ascii="宋体" w:hAnsi="宋体" w:eastAsia="宋体" w:cs="宋体"/>
                <w:color w:val="auto"/>
                <w:szCs w:val="21"/>
                <w:highlight w:val="none"/>
              </w:rPr>
              <w:t>结合项目实际情况对资源配备计划进行综合评审，</w:t>
            </w:r>
            <w:r>
              <w:rPr>
                <w:rFonts w:hint="eastAsia" w:ascii="宋体" w:hAnsi="宋体" w:cs="宋体"/>
                <w:color w:val="auto"/>
                <w:szCs w:val="21"/>
                <w:highlight w:val="none"/>
                <w:lang w:val="en-US" w:eastAsia="zh-CN"/>
              </w:rPr>
              <w:t>好</w:t>
            </w:r>
            <w:r>
              <w:rPr>
                <w:rFonts w:hint="eastAsia" w:ascii="宋体" w:hAnsi="宋体" w:eastAsia="宋体" w:cs="宋体"/>
                <w:color w:val="auto"/>
                <w:szCs w:val="21"/>
                <w:highlight w:val="none"/>
              </w:rPr>
              <w:t>：</w:t>
            </w:r>
            <w:r>
              <w:rPr>
                <w:rFonts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1</w:t>
            </w:r>
            <w:r>
              <w:rPr>
                <w:rFonts w:ascii="宋体" w:hAnsi="宋体" w:eastAsia="宋体" w:cs="宋体"/>
                <w:color w:val="auto"/>
                <w:szCs w:val="21"/>
                <w:highlight w:val="none"/>
              </w:rPr>
              <w:t>-3.0</w:t>
            </w:r>
            <w:r>
              <w:rPr>
                <w:rFonts w:hint="eastAsia" w:ascii="宋体" w:hAnsi="宋体" w:eastAsia="宋体" w:cs="宋体"/>
                <w:color w:val="auto"/>
                <w:szCs w:val="21"/>
                <w:highlight w:val="none"/>
              </w:rPr>
              <w:t>分；一般：1.8</w:t>
            </w:r>
            <w:r>
              <w:rPr>
                <w:rFonts w:ascii="宋体" w:hAnsi="宋体" w:eastAsia="宋体" w:cs="宋体"/>
                <w:color w:val="auto"/>
                <w:szCs w:val="21"/>
                <w:highlight w:val="none"/>
              </w:rPr>
              <w:t>-</w:t>
            </w:r>
            <w:r>
              <w:rPr>
                <w:rFonts w:hint="eastAsia" w:ascii="宋体" w:hAnsi="宋体" w:eastAsia="宋体" w:cs="宋体"/>
                <w:color w:val="auto"/>
                <w:szCs w:val="21"/>
                <w:highlight w:val="none"/>
              </w:rPr>
              <w:t>2.0分，未提供不得分。注：保留一位小数。</w:t>
            </w:r>
          </w:p>
        </w:tc>
      </w:tr>
      <w:tr w14:paraId="1BC7797A">
        <w:tblPrEx>
          <w:tblCellMar>
            <w:top w:w="0" w:type="dxa"/>
            <w:left w:w="108" w:type="dxa"/>
            <w:bottom w:w="0" w:type="dxa"/>
            <w:right w:w="108" w:type="dxa"/>
          </w:tblCellMar>
        </w:tblPrEx>
        <w:trPr>
          <w:gridAfter w:val="2"/>
          <w:wAfter w:w="20" w:type="dxa"/>
          <w:trHeight w:val="445" w:hRule="atLeast"/>
          <w:jc w:val="center"/>
        </w:trPr>
        <w:tc>
          <w:tcPr>
            <w:tcW w:w="851" w:type="dxa"/>
            <w:tcBorders>
              <w:top w:val="single" w:color="auto" w:sz="4" w:space="0"/>
              <w:left w:val="single" w:color="auto" w:sz="4" w:space="0"/>
              <w:bottom w:val="single" w:color="auto" w:sz="4" w:space="0"/>
              <w:right w:val="single" w:color="auto" w:sz="4" w:space="0"/>
            </w:tcBorders>
            <w:vAlign w:val="center"/>
          </w:tcPr>
          <w:p w14:paraId="5222CB6D">
            <w:pPr>
              <w:spacing w:line="360" w:lineRule="auto"/>
              <w:jc w:val="center"/>
              <w:rPr>
                <w:rFonts w:ascii="Times New Roman" w:hAnsi="Times New Roman" w:cs="Times New Roman"/>
                <w:color w:val="000000"/>
                <w:szCs w:val="21"/>
                <w:highlight w:val="none"/>
              </w:rPr>
            </w:pPr>
            <w:r>
              <w:rPr>
                <w:rFonts w:ascii="Times New Roman" w:hAnsi="Times New Roman" w:cs="Times New Roman"/>
                <w:szCs w:val="21"/>
                <w:highlight w:val="none"/>
              </w:rPr>
              <w:t>3.1.3</w:t>
            </w:r>
          </w:p>
        </w:tc>
        <w:tc>
          <w:tcPr>
            <w:tcW w:w="1693" w:type="dxa"/>
            <w:tcBorders>
              <w:top w:val="single" w:color="auto" w:sz="4" w:space="0"/>
              <w:left w:val="single" w:color="auto" w:sz="4" w:space="0"/>
              <w:bottom w:val="single" w:color="auto" w:sz="4" w:space="0"/>
              <w:right w:val="single" w:color="auto" w:sz="4" w:space="0"/>
            </w:tcBorders>
            <w:vAlign w:val="center"/>
          </w:tcPr>
          <w:p w14:paraId="2CC87CCC">
            <w:pPr>
              <w:spacing w:line="440" w:lineRule="exact"/>
              <w:jc w:val="center"/>
              <w:rPr>
                <w:rFonts w:ascii="Times New Roman" w:hAnsi="Times New Roman" w:cs="Times New Roman"/>
                <w:szCs w:val="21"/>
                <w:highlight w:val="none"/>
              </w:rPr>
            </w:pPr>
          </w:p>
          <w:p w14:paraId="4A918E13">
            <w:pPr>
              <w:spacing w:line="440" w:lineRule="exact"/>
              <w:jc w:val="center"/>
              <w:rPr>
                <w:rFonts w:ascii="Times New Roman" w:hAnsi="Times New Roman" w:cs="Times New Roman"/>
                <w:szCs w:val="21"/>
                <w:highlight w:val="none"/>
              </w:rPr>
            </w:pPr>
          </w:p>
          <w:p w14:paraId="0D2C5351">
            <w:pPr>
              <w:spacing w:line="440" w:lineRule="exact"/>
              <w:jc w:val="center"/>
              <w:rPr>
                <w:rFonts w:ascii="Times New Roman" w:hAnsi="Times New Roman" w:cs="Times New Roman"/>
                <w:szCs w:val="21"/>
                <w:highlight w:val="none"/>
              </w:rPr>
            </w:pPr>
            <w:r>
              <w:rPr>
                <w:rFonts w:hint="eastAsia" w:ascii="Times New Roman" w:hAnsi="Times New Roman" w:cs="Times New Roman"/>
                <w:szCs w:val="21"/>
                <w:highlight w:val="none"/>
              </w:rPr>
              <w:t>比选申请</w:t>
            </w:r>
            <w:r>
              <w:rPr>
                <w:rFonts w:ascii="Times New Roman" w:hAnsi="Times New Roman" w:cs="Times New Roman"/>
                <w:szCs w:val="21"/>
                <w:highlight w:val="none"/>
              </w:rPr>
              <w:t>报价</w:t>
            </w:r>
          </w:p>
          <w:p w14:paraId="45A2BD09">
            <w:pPr>
              <w:spacing w:line="440" w:lineRule="exact"/>
              <w:jc w:val="center"/>
              <w:rPr>
                <w:rFonts w:ascii="Times New Roman" w:hAnsi="Times New Roman" w:cs="Times New Roman"/>
                <w:szCs w:val="21"/>
                <w:highlight w:val="none"/>
              </w:rPr>
            </w:pPr>
            <w:r>
              <w:rPr>
                <w:rFonts w:ascii="Times New Roman" w:hAnsi="Times New Roman" w:cs="Times New Roman"/>
                <w:szCs w:val="21"/>
                <w:highlight w:val="none"/>
              </w:rPr>
              <w:t>评审标准（50分）</w:t>
            </w:r>
          </w:p>
          <w:p w14:paraId="5BF7538D">
            <w:pPr>
              <w:spacing w:line="440" w:lineRule="exact"/>
              <w:jc w:val="center"/>
              <w:rPr>
                <w:rFonts w:ascii="Times New Roman" w:hAnsi="Times New Roman" w:cs="Times New Roman"/>
                <w:szCs w:val="21"/>
                <w:highlight w:val="none"/>
              </w:rPr>
            </w:pPr>
          </w:p>
          <w:p w14:paraId="7236C654">
            <w:pPr>
              <w:spacing w:line="360" w:lineRule="auto"/>
              <w:jc w:val="center"/>
              <w:rPr>
                <w:rFonts w:ascii="Times New Roman" w:hAnsi="Times New Roman" w:cs="Times New Roman"/>
                <w:kern w:val="0"/>
                <w:szCs w:val="21"/>
                <w:highlight w:val="none"/>
              </w:rPr>
            </w:pPr>
          </w:p>
        </w:tc>
        <w:tc>
          <w:tcPr>
            <w:tcW w:w="7284" w:type="dxa"/>
            <w:gridSpan w:val="2"/>
            <w:tcBorders>
              <w:top w:val="single" w:color="auto" w:sz="4" w:space="0"/>
              <w:left w:val="single" w:color="auto" w:sz="4" w:space="0"/>
              <w:bottom w:val="single" w:color="auto" w:sz="4" w:space="0"/>
              <w:right w:val="single" w:color="auto" w:sz="4" w:space="0"/>
            </w:tcBorders>
            <w:vAlign w:val="center"/>
          </w:tcPr>
          <w:p w14:paraId="78BCDB0D">
            <w:pPr>
              <w:numPr>
                <w:ilvl w:val="0"/>
                <w:numId w:val="0"/>
              </w:numPr>
              <w:spacing w:line="360" w:lineRule="exact"/>
              <w:ind w:firstLine="420" w:firstLineChars="200"/>
              <w:jc w:val="left"/>
              <w:rPr>
                <w:rFonts w:hint="eastAsia" w:ascii="宋体" w:hAnsi="宋体" w:eastAsia="宋体" w:cs="宋体"/>
                <w:color w:val="auto"/>
                <w:szCs w:val="21"/>
                <w:highlight w:val="none"/>
              </w:rPr>
            </w:pPr>
            <w:r>
              <w:rPr>
                <w:rFonts w:hint="eastAsia" w:ascii="Times New Roman" w:hAnsi="Times New Roman" w:cs="Times New Roman"/>
                <w:color w:val="auto"/>
                <w:szCs w:val="21"/>
                <w:highlight w:val="none"/>
                <w:lang w:val="en-US" w:eastAsia="zh-CN"/>
              </w:rPr>
              <w:t>1、</w:t>
            </w:r>
            <w:r>
              <w:rPr>
                <w:rFonts w:ascii="Times New Roman" w:hAnsi="Times New Roman" w:cs="Times New Roman"/>
                <w:color w:val="auto"/>
                <w:szCs w:val="21"/>
                <w:highlight w:val="none"/>
              </w:rPr>
              <w:t>评审基准</w:t>
            </w:r>
            <w:r>
              <w:rPr>
                <w:rFonts w:hint="eastAsia" w:ascii="宋体" w:hAnsi="宋体" w:eastAsia="宋体" w:cs="宋体"/>
                <w:color w:val="auto"/>
                <w:szCs w:val="21"/>
                <w:highlight w:val="none"/>
              </w:rPr>
              <w:t>价的计算方式：</w:t>
            </w:r>
          </w:p>
          <w:p w14:paraId="4D17F9E0">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lang w:val="en-US" w:eastAsia="zh-CN"/>
              </w:rPr>
              <w:t>1</w:t>
            </w:r>
            <w:r>
              <w:rPr>
                <w:rFonts w:hint="eastAsia" w:ascii="宋体" w:hAnsi="宋体" w:eastAsia="宋体" w:cs="宋体"/>
                <w:b w:val="0"/>
                <w:bCs w:val="0"/>
                <w:color w:val="auto"/>
                <w:kern w:val="2"/>
                <w:sz w:val="21"/>
                <w:highlight w:val="none"/>
                <w:lang w:eastAsia="zh-CN"/>
              </w:rPr>
              <w:t>）</w:t>
            </w:r>
            <w:r>
              <w:rPr>
                <w:rFonts w:hint="eastAsia" w:ascii="宋体" w:hAnsi="宋体" w:eastAsia="宋体" w:cs="宋体"/>
                <w:b w:val="0"/>
                <w:bCs w:val="0"/>
                <w:color w:val="auto"/>
                <w:kern w:val="2"/>
                <w:sz w:val="21"/>
                <w:highlight w:val="none"/>
              </w:rPr>
              <w:t>当</w:t>
            </w:r>
            <w:r>
              <w:rPr>
                <w:rFonts w:hint="eastAsia" w:ascii="宋体" w:hAnsi="宋体" w:eastAsia="宋体" w:cs="宋体"/>
                <w:b w:val="0"/>
                <w:bCs w:val="0"/>
                <w:color w:val="auto"/>
                <w:kern w:val="2"/>
                <w:sz w:val="21"/>
                <w:highlight w:val="none"/>
                <w:lang w:val="en-US" w:eastAsia="zh-CN"/>
              </w:rPr>
              <w:t>比选</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人少于5家时，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基准价=所有有效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报价的算术平均值。</w:t>
            </w:r>
          </w:p>
          <w:p w14:paraId="1BB6455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cs="宋体"/>
                <w:b w:val="0"/>
                <w:bCs w:val="0"/>
                <w:color w:val="auto"/>
                <w:kern w:val="2"/>
                <w:sz w:val="21"/>
                <w:highlight w:val="none"/>
                <w:lang w:eastAsia="zh-CN"/>
              </w:rPr>
              <w:t>（</w:t>
            </w:r>
            <w:r>
              <w:rPr>
                <w:rFonts w:hint="eastAsia" w:cs="宋体"/>
                <w:b w:val="0"/>
                <w:bCs w:val="0"/>
                <w:color w:val="auto"/>
                <w:kern w:val="2"/>
                <w:sz w:val="21"/>
                <w:highlight w:val="none"/>
                <w:lang w:val="en-US" w:eastAsia="zh-CN"/>
              </w:rPr>
              <w:t>2</w:t>
            </w:r>
            <w:r>
              <w:rPr>
                <w:rFonts w:hint="eastAsia" w:cs="宋体"/>
                <w:b w:val="0"/>
                <w:bCs w:val="0"/>
                <w:color w:val="auto"/>
                <w:kern w:val="2"/>
                <w:sz w:val="21"/>
                <w:highlight w:val="none"/>
                <w:lang w:eastAsia="zh-CN"/>
              </w:rPr>
              <w:t>）</w:t>
            </w:r>
            <w:r>
              <w:rPr>
                <w:rFonts w:hint="eastAsia" w:ascii="宋体" w:eastAsia="宋体" w:cs="宋体"/>
                <w:b w:val="0"/>
                <w:bCs w:val="0"/>
                <w:color w:val="auto"/>
                <w:kern w:val="2"/>
                <w:sz w:val="21"/>
                <w:highlight w:val="none"/>
              </w:rPr>
              <w:t>当</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数大于或等于5家时，</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基准价=去掉最高和最低报价的有效</w:t>
            </w:r>
            <w:r>
              <w:rPr>
                <w:rFonts w:hint="eastAsia" w:cs="宋体"/>
                <w:b w:val="0"/>
                <w:bCs w:val="0"/>
                <w:color w:val="auto"/>
                <w:kern w:val="2"/>
                <w:sz w:val="21"/>
                <w:highlight w:val="none"/>
                <w:lang w:eastAsia="zh-CN"/>
              </w:rPr>
              <w:t>比选申请人</w:t>
            </w:r>
            <w:r>
              <w:rPr>
                <w:rFonts w:hint="eastAsia" w:ascii="宋体" w:eastAsia="宋体" w:cs="宋体"/>
                <w:b w:val="0"/>
                <w:bCs w:val="0"/>
                <w:color w:val="auto"/>
                <w:kern w:val="2"/>
                <w:sz w:val="21"/>
                <w:highlight w:val="none"/>
              </w:rPr>
              <w:t>的</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报价的</w:t>
            </w:r>
            <w:r>
              <w:rPr>
                <w:rFonts w:hint="eastAsia" w:cs="宋体"/>
                <w:b w:val="0"/>
                <w:bCs w:val="0"/>
                <w:color w:val="auto"/>
                <w:kern w:val="2"/>
                <w:sz w:val="21"/>
                <w:highlight w:val="none"/>
                <w:lang w:eastAsia="zh-CN"/>
              </w:rPr>
              <w:t>算术</w:t>
            </w:r>
            <w:r>
              <w:rPr>
                <w:rFonts w:hint="eastAsia" w:ascii="宋体" w:eastAsia="宋体" w:cs="宋体"/>
                <w:b w:val="0"/>
                <w:bCs w:val="0"/>
                <w:color w:val="auto"/>
                <w:kern w:val="2"/>
                <w:sz w:val="21"/>
                <w:highlight w:val="none"/>
              </w:rPr>
              <w:t>平均值。</w:t>
            </w:r>
          </w:p>
          <w:p w14:paraId="205C4F33">
            <w:pPr>
              <w:pStyle w:val="25"/>
              <w:spacing w:line="480" w:lineRule="exact"/>
              <w:ind w:firstLine="420" w:firstLineChars="200"/>
              <w:rPr>
                <w:rFonts w:hint="eastAsia" w:ascii="Times New Roman" w:hAnsi="Times New Roman" w:eastAsia="宋体" w:cs="Times New Roman"/>
                <w:color w:val="FF0000"/>
                <w:szCs w:val="21"/>
                <w:highlight w:val="none"/>
                <w:lang w:eastAsia="zh-CN"/>
              </w:rPr>
            </w:pPr>
            <w:r>
              <w:rPr>
                <w:rFonts w:ascii="Times New Roman" w:hAnsi="Times New Roman" w:cs="Times New Roman"/>
                <w:color w:val="auto"/>
                <w:highlight w:val="none"/>
              </w:rPr>
              <w:t>2、</w:t>
            </w:r>
            <w:r>
              <w:rPr>
                <w:rFonts w:hint="eastAsia" w:cs="Times New Roman"/>
                <w:color w:val="auto"/>
                <w:highlight w:val="none"/>
              </w:rPr>
              <w:t>比选申请</w:t>
            </w:r>
            <w:r>
              <w:rPr>
                <w:rFonts w:ascii="Times New Roman" w:hAnsi="Times New Roman" w:cs="Times New Roman"/>
                <w:color w:val="auto"/>
                <w:highlight w:val="none"/>
              </w:rPr>
              <w:t>报价偏差率=</w:t>
            </w:r>
            <w:r>
              <w:rPr>
                <w:rFonts w:hint="eastAsia" w:ascii="宋体" w:hAnsi="宋体"/>
                <w:color w:val="auto"/>
                <w:highlight w:val="none"/>
              </w:rPr>
              <w:t>偏差</w:t>
            </w:r>
            <w:r>
              <w:rPr>
                <w:rFonts w:hint="eastAsia" w:ascii="宋体" w:hAnsi="宋体"/>
                <w:color w:val="auto"/>
                <w:spacing w:val="-3"/>
                <w:highlight w:val="none"/>
              </w:rPr>
              <w:t>率</w:t>
            </w:r>
            <w:r>
              <w:rPr>
                <w:rFonts w:hint="eastAsia" w:ascii="宋体" w:hAnsi="宋体"/>
                <w:color w:val="auto"/>
                <w:highlight w:val="none"/>
              </w:rPr>
              <w:t>=100%</w:t>
            </w:r>
            <w:r>
              <w:rPr>
                <w:rFonts w:hint="eastAsia" w:ascii="宋体" w:hAnsi="宋体"/>
                <w:color w:val="auto"/>
                <w:spacing w:val="-3"/>
                <w:highlight w:val="none"/>
              </w:rPr>
              <w:t>×|（</w:t>
            </w:r>
            <w:r>
              <w:rPr>
                <w:rFonts w:hint="eastAsia"/>
                <w:color w:val="auto"/>
                <w:highlight w:val="none"/>
                <w:lang w:eastAsia="zh-CN"/>
              </w:rPr>
              <w:t>比选申请人评审</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spacing w:val="-3"/>
                <w:highlight w:val="none"/>
              </w:rPr>
              <w:t>基</w:t>
            </w:r>
            <w:r>
              <w:rPr>
                <w:rFonts w:hint="eastAsia" w:ascii="宋体" w:hAnsi="宋体"/>
                <w:color w:val="auto"/>
                <w:highlight w:val="none"/>
              </w:rPr>
              <w:t>准</w:t>
            </w:r>
            <w:r>
              <w:rPr>
                <w:rFonts w:hint="eastAsia" w:ascii="宋体" w:hAnsi="宋体"/>
                <w:color w:val="auto"/>
                <w:spacing w:val="-3"/>
                <w:highlight w:val="none"/>
              </w:rPr>
              <w:t>价</w:t>
            </w:r>
            <w:r>
              <w:rPr>
                <w:rFonts w:hint="eastAsia" w:ascii="宋体" w:hAnsi="宋体"/>
                <w:color w:val="auto"/>
                <w:highlight w:val="none"/>
              </w:rPr>
              <w:t>）|/</w:t>
            </w:r>
            <w:r>
              <w:rPr>
                <w:rFonts w:hint="eastAsia"/>
                <w:color w:val="auto"/>
                <w:spacing w:val="-3"/>
                <w:highlight w:val="none"/>
                <w:lang w:eastAsia="zh-CN"/>
              </w:rPr>
              <w:t>评审</w:t>
            </w:r>
            <w:r>
              <w:rPr>
                <w:rFonts w:hint="eastAsia" w:ascii="宋体" w:hAnsi="宋体"/>
                <w:color w:val="auto"/>
                <w:highlight w:val="none"/>
              </w:rPr>
              <w:t>基</w:t>
            </w:r>
            <w:r>
              <w:rPr>
                <w:rFonts w:hint="eastAsia" w:ascii="宋体" w:hAnsi="宋体"/>
                <w:color w:val="auto"/>
                <w:spacing w:val="-3"/>
                <w:highlight w:val="none"/>
              </w:rPr>
              <w:t>准</w:t>
            </w:r>
            <w:r>
              <w:rPr>
                <w:rFonts w:hint="eastAsia" w:ascii="宋体" w:hAnsi="宋体"/>
                <w:color w:val="auto"/>
                <w:highlight w:val="none"/>
              </w:rPr>
              <w:t>价，偏差</w:t>
            </w:r>
            <w:r>
              <w:rPr>
                <w:rFonts w:hint="eastAsia" w:ascii="宋体" w:hAnsi="宋体"/>
                <w:color w:val="auto"/>
                <w:spacing w:val="-3"/>
                <w:highlight w:val="none"/>
              </w:rPr>
              <w:t>率</w:t>
            </w:r>
            <w:r>
              <w:rPr>
                <w:rFonts w:hint="eastAsia" w:ascii="宋体" w:hAnsi="宋体"/>
                <w:color w:val="auto"/>
                <w:highlight w:val="none"/>
              </w:rPr>
              <w:t>保</w:t>
            </w:r>
            <w:r>
              <w:rPr>
                <w:rFonts w:hint="eastAsia" w:ascii="宋体" w:hAnsi="宋体"/>
                <w:color w:val="auto"/>
                <w:spacing w:val="-3"/>
                <w:highlight w:val="none"/>
              </w:rPr>
              <w:t>留</w:t>
            </w:r>
            <w:r>
              <w:rPr>
                <w:rFonts w:hint="eastAsia" w:ascii="宋体" w:hAnsi="宋体"/>
                <w:color w:val="auto"/>
                <w:spacing w:val="-3"/>
                <w:highlight w:val="none"/>
                <w:u w:val="single"/>
                <w:lang w:val="en-US" w:eastAsia="zh-CN"/>
              </w:rPr>
              <w:t>4</w:t>
            </w:r>
            <w:r>
              <w:rPr>
                <w:rFonts w:hint="eastAsia" w:ascii="宋体" w:hAnsi="宋体"/>
                <w:color w:val="auto"/>
                <w:highlight w:val="none"/>
              </w:rPr>
              <w:t>位</w:t>
            </w:r>
            <w:r>
              <w:rPr>
                <w:rFonts w:hint="eastAsia" w:ascii="宋体" w:hAnsi="宋体"/>
                <w:color w:val="auto"/>
                <w:spacing w:val="-3"/>
                <w:highlight w:val="none"/>
              </w:rPr>
              <w:t>小数</w:t>
            </w:r>
            <w:r>
              <w:rPr>
                <w:rFonts w:hint="eastAsia"/>
                <w:color w:val="auto"/>
                <w:highlight w:val="none"/>
                <w:lang w:eastAsia="zh-CN"/>
              </w:rPr>
              <w:t>。</w:t>
            </w:r>
          </w:p>
          <w:p w14:paraId="4ACBC606">
            <w:pPr>
              <w:pStyle w:val="25"/>
              <w:spacing w:line="480" w:lineRule="exact"/>
              <w:ind w:firstLine="420" w:firstLineChars="200"/>
              <w:rPr>
                <w:color w:val="auto"/>
                <w:szCs w:val="21"/>
                <w:highlight w:val="none"/>
              </w:rPr>
            </w:pPr>
            <w:r>
              <w:rPr>
                <w:color w:val="auto"/>
                <w:szCs w:val="21"/>
                <w:highlight w:val="none"/>
              </w:rPr>
              <w:t>3、</w:t>
            </w:r>
            <w:r>
              <w:rPr>
                <w:rFonts w:hint="eastAsia"/>
                <w:color w:val="auto"/>
                <w:szCs w:val="21"/>
                <w:highlight w:val="none"/>
              </w:rPr>
              <w:t>比选申请</w:t>
            </w:r>
            <w:r>
              <w:rPr>
                <w:color w:val="auto"/>
                <w:szCs w:val="21"/>
                <w:highlight w:val="none"/>
              </w:rPr>
              <w:t>报价等于</w:t>
            </w:r>
            <w:r>
              <w:rPr>
                <w:rFonts w:hint="eastAsia"/>
                <w:color w:val="auto"/>
                <w:szCs w:val="21"/>
                <w:highlight w:val="none"/>
              </w:rPr>
              <w:t>评</w:t>
            </w:r>
            <w:r>
              <w:rPr>
                <w:color w:val="auto"/>
                <w:highlight w:val="none"/>
              </w:rPr>
              <w:t>审</w:t>
            </w:r>
            <w:r>
              <w:rPr>
                <w:rFonts w:hint="eastAsia"/>
                <w:color w:val="auto"/>
                <w:highlight w:val="none"/>
                <w:lang w:eastAsia="zh-CN"/>
              </w:rPr>
              <w:t>基准价</w:t>
            </w:r>
            <w:r>
              <w:rPr>
                <w:color w:val="auto"/>
                <w:szCs w:val="21"/>
                <w:highlight w:val="none"/>
              </w:rPr>
              <w:t>时得满分</w:t>
            </w:r>
            <w:r>
              <w:rPr>
                <w:rFonts w:hint="eastAsia"/>
                <w:color w:val="auto"/>
                <w:szCs w:val="21"/>
                <w:highlight w:val="none"/>
              </w:rPr>
              <w:t>5</w:t>
            </w:r>
            <w:r>
              <w:rPr>
                <w:color w:val="auto"/>
                <w:szCs w:val="21"/>
                <w:highlight w:val="none"/>
              </w:rPr>
              <w:t>0分；</w:t>
            </w:r>
          </w:p>
          <w:p w14:paraId="6FF335D6">
            <w:pPr>
              <w:pStyle w:val="25"/>
              <w:spacing w:line="480" w:lineRule="exact"/>
              <w:ind w:firstLine="420" w:firstLineChars="200"/>
              <w:rPr>
                <w:rFonts w:hint="eastAsia"/>
                <w:color w:val="auto"/>
                <w:szCs w:val="21"/>
                <w:highlight w:val="none"/>
                <w:lang w:val="en-US" w:eastAsia="zh-CN"/>
              </w:rPr>
            </w:pPr>
            <w:r>
              <w:rPr>
                <w:color w:val="auto"/>
                <w:szCs w:val="21"/>
                <w:highlight w:val="none"/>
              </w:rPr>
              <w:t>高于</w:t>
            </w:r>
            <w:r>
              <w:rPr>
                <w:rFonts w:hint="eastAsia"/>
                <w:color w:val="auto"/>
                <w:highlight w:val="none"/>
              </w:rPr>
              <w:t>评审</w:t>
            </w:r>
            <w:r>
              <w:rPr>
                <w:color w:val="auto"/>
                <w:szCs w:val="21"/>
                <w:highlight w:val="none"/>
              </w:rPr>
              <w:t>基准价的报价得分=</w:t>
            </w:r>
            <w:r>
              <w:rPr>
                <w:rFonts w:hint="eastAsia"/>
                <w:color w:val="auto"/>
                <w:szCs w:val="21"/>
                <w:highlight w:val="none"/>
              </w:rPr>
              <w:t>5</w:t>
            </w:r>
            <w:r>
              <w:rPr>
                <w:color w:val="auto"/>
                <w:szCs w:val="21"/>
                <w:highlight w:val="none"/>
              </w:rPr>
              <w:t>0-偏差率×100×</w:t>
            </w:r>
            <w:r>
              <w:rPr>
                <w:rFonts w:hint="eastAsia"/>
                <w:color w:val="auto"/>
                <w:szCs w:val="21"/>
                <w:highlight w:val="none"/>
                <w:lang w:val="en-US" w:eastAsia="zh-CN"/>
              </w:rPr>
              <w:t>1.2</w:t>
            </w:r>
          </w:p>
          <w:p w14:paraId="0702B613">
            <w:pPr>
              <w:pStyle w:val="25"/>
              <w:spacing w:line="480" w:lineRule="exact"/>
              <w:ind w:firstLine="420" w:firstLineChars="200"/>
              <w:rPr>
                <w:rFonts w:hint="default" w:ascii="Times New Roman" w:hAnsi="Times New Roman" w:eastAsia="宋体" w:cs="Times New Roman"/>
                <w:color w:val="auto"/>
                <w:highlight w:val="none"/>
                <w:lang w:val="en-US" w:eastAsia="zh-CN"/>
              </w:rPr>
            </w:pPr>
            <w:r>
              <w:rPr>
                <w:rFonts w:ascii="Times New Roman" w:hAnsi="Times New Roman" w:cs="Times New Roman"/>
                <w:color w:val="auto"/>
                <w:szCs w:val="21"/>
                <w:highlight w:val="none"/>
              </w:rPr>
              <w:t>低于</w:t>
            </w:r>
            <w:r>
              <w:rPr>
                <w:rFonts w:hint="eastAsia" w:cs="Times New Roman"/>
                <w:color w:val="auto"/>
                <w:szCs w:val="21"/>
                <w:highlight w:val="none"/>
              </w:rPr>
              <w:t>评</w:t>
            </w:r>
            <w:r>
              <w:rPr>
                <w:rFonts w:ascii="Times New Roman" w:hAnsi="Times New Roman" w:cs="Times New Roman"/>
                <w:color w:val="auto"/>
                <w:highlight w:val="none"/>
              </w:rPr>
              <w:t>审基准</w:t>
            </w:r>
            <w:r>
              <w:rPr>
                <w:rFonts w:hint="eastAsia" w:cs="Times New Roman"/>
                <w:color w:val="auto"/>
                <w:highlight w:val="none"/>
              </w:rPr>
              <w:t>价</w:t>
            </w:r>
            <w:r>
              <w:rPr>
                <w:rFonts w:ascii="Times New Roman" w:hAnsi="Times New Roman" w:cs="Times New Roman"/>
                <w:color w:val="auto"/>
                <w:szCs w:val="21"/>
                <w:highlight w:val="none"/>
              </w:rPr>
              <w:t>的得分=</w:t>
            </w: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0-偏差率</w:t>
            </w:r>
            <w:r>
              <w:rPr>
                <w:rFonts w:ascii="宋体" w:hAnsi="宋体" w:eastAsia="宋体" w:cs="Times New Roman"/>
                <w:color w:val="auto"/>
                <w:szCs w:val="21"/>
                <w:highlight w:val="none"/>
              </w:rPr>
              <w:t>×100×</w:t>
            </w:r>
            <w:r>
              <w:rPr>
                <w:rFonts w:hint="eastAsia" w:cs="Times New Roman"/>
                <w:color w:val="auto"/>
                <w:szCs w:val="21"/>
                <w:highlight w:val="none"/>
                <w:lang w:val="en-US" w:eastAsia="zh-CN"/>
              </w:rPr>
              <w:t>1.0</w:t>
            </w:r>
          </w:p>
          <w:p w14:paraId="048551F9">
            <w:pPr>
              <w:pStyle w:val="25"/>
              <w:spacing w:line="480" w:lineRule="exact"/>
              <w:ind w:firstLine="420" w:firstLineChars="200"/>
              <w:rPr>
                <w:rFonts w:ascii="Times New Roman" w:hAnsi="Times New Roman" w:cs="Times New Roman"/>
                <w:color w:val="auto"/>
                <w:szCs w:val="21"/>
                <w:highlight w:val="none"/>
              </w:rPr>
            </w:pPr>
            <w:r>
              <w:rPr>
                <w:rFonts w:ascii="Times New Roman" w:hAnsi="Times New Roman" w:cs="Times New Roman"/>
                <w:color w:val="auto"/>
                <w:szCs w:val="21"/>
                <w:highlight w:val="none"/>
              </w:rPr>
              <w:t>注：以上计算结果均保留2位小数，第3位四舍五入。</w:t>
            </w:r>
          </w:p>
          <w:p w14:paraId="72C11D67">
            <w:pPr>
              <w:pStyle w:val="25"/>
              <w:adjustRightInd w:val="0"/>
              <w:snapToGrid w:val="0"/>
              <w:spacing w:line="480" w:lineRule="exact"/>
              <w:ind w:firstLine="420" w:firstLineChars="200"/>
              <w:rPr>
                <w:rFonts w:hint="eastAsia" w:ascii="宋体" w:hAnsi="宋体" w:cs="宋体"/>
                <w:b/>
                <w:color w:val="auto"/>
                <w:szCs w:val="21"/>
                <w:highlight w:val="none"/>
              </w:rPr>
            </w:pPr>
            <w:r>
              <w:rPr>
                <w:rFonts w:hint="eastAsia" w:cs="Times New Roman"/>
                <w:color w:val="auto"/>
                <w:szCs w:val="21"/>
                <w:highlight w:val="none"/>
                <w:lang w:val="en-US" w:eastAsia="zh-CN"/>
              </w:rPr>
              <w:t>4、</w:t>
            </w:r>
            <w:r>
              <w:rPr>
                <w:rFonts w:hint="eastAsia" w:cs="宋体"/>
                <w:b/>
                <w:color w:val="auto"/>
                <w:szCs w:val="21"/>
                <w:highlight w:val="none"/>
                <w:lang w:eastAsia="zh-CN"/>
              </w:rPr>
              <w:t>评审</w:t>
            </w:r>
            <w:r>
              <w:rPr>
                <w:rFonts w:hint="eastAsia" w:ascii="宋体" w:hAnsi="宋体" w:cs="宋体"/>
                <w:b/>
                <w:color w:val="auto"/>
                <w:szCs w:val="21"/>
                <w:highlight w:val="none"/>
              </w:rPr>
              <w:t>价不参加</w:t>
            </w:r>
            <w:r>
              <w:rPr>
                <w:rFonts w:hint="eastAsia" w:cs="宋体"/>
                <w:b/>
                <w:color w:val="auto"/>
                <w:szCs w:val="21"/>
                <w:highlight w:val="none"/>
                <w:lang w:eastAsia="zh-CN"/>
              </w:rPr>
              <w:t>评审</w:t>
            </w:r>
            <w:r>
              <w:rPr>
                <w:rFonts w:hint="eastAsia" w:ascii="宋体" w:hAnsi="宋体" w:cs="宋体"/>
                <w:b/>
                <w:color w:val="auto"/>
                <w:szCs w:val="21"/>
                <w:highlight w:val="none"/>
              </w:rPr>
              <w:t>基准价计算的情形：</w:t>
            </w:r>
          </w:p>
          <w:p w14:paraId="53D85C86">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①未在</w:t>
            </w:r>
            <w:r>
              <w:rPr>
                <w:rFonts w:hint="eastAsia" w:cs="宋体"/>
                <w:b w:val="0"/>
                <w:bCs w:val="0"/>
                <w:color w:val="auto"/>
                <w:kern w:val="2"/>
                <w:sz w:val="21"/>
                <w:highlight w:val="none"/>
                <w:lang w:val="en-US" w:eastAsia="zh-CN"/>
              </w:rPr>
              <w:t>申请</w:t>
            </w:r>
            <w:r>
              <w:rPr>
                <w:rFonts w:hint="eastAsia" w:ascii="宋体" w:eastAsia="宋体" w:cs="宋体"/>
                <w:b w:val="0"/>
                <w:bCs w:val="0"/>
                <w:color w:val="auto"/>
                <w:kern w:val="2"/>
                <w:sz w:val="21"/>
                <w:highlight w:val="none"/>
              </w:rPr>
              <w:t>函上填写</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w:t>
            </w:r>
          </w:p>
          <w:p w14:paraId="4B01D15C">
            <w:pPr>
              <w:pStyle w:val="25"/>
              <w:spacing w:line="480" w:lineRule="exact"/>
              <w:ind w:firstLine="420" w:firstLineChars="200"/>
              <w:jc w:val="both"/>
              <w:rPr>
                <w:rFonts w:hint="eastAsia" w:ascii="宋体" w:eastAsia="宋体" w:cs="宋体"/>
                <w:b w:val="0"/>
                <w:bCs w:val="0"/>
                <w:color w:val="auto"/>
                <w:kern w:val="2"/>
                <w:sz w:val="21"/>
                <w:highlight w:val="none"/>
              </w:rPr>
            </w:pPr>
            <w:r>
              <w:rPr>
                <w:rFonts w:hint="eastAsia" w:ascii="宋体" w:eastAsia="宋体" w:cs="宋体"/>
                <w:b w:val="0"/>
                <w:bCs w:val="0"/>
                <w:color w:val="auto"/>
                <w:kern w:val="2"/>
                <w:sz w:val="21"/>
                <w:highlight w:val="none"/>
              </w:rPr>
              <w:t>②</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报价超出</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w:t>
            </w:r>
          </w:p>
          <w:p w14:paraId="12B07E74">
            <w:pPr>
              <w:pStyle w:val="25"/>
              <w:spacing w:line="480" w:lineRule="exact"/>
              <w:ind w:firstLine="420" w:firstLineChars="200"/>
              <w:jc w:val="both"/>
              <w:rPr>
                <w:rFonts w:hint="eastAsia" w:ascii="宋体" w:eastAsia="宋体" w:cs="宋体"/>
                <w:b w:val="0"/>
                <w:bCs w:val="0"/>
                <w:color w:val="auto"/>
                <w:kern w:val="2"/>
                <w:sz w:val="21"/>
                <w:highlight w:val="none"/>
                <w:lang w:eastAsia="zh-CN"/>
              </w:rPr>
            </w:pPr>
            <w:r>
              <w:rPr>
                <w:rFonts w:hint="eastAsia" w:ascii="宋体" w:eastAsia="宋体" w:cs="宋体"/>
                <w:b w:val="0"/>
                <w:bCs w:val="0"/>
                <w:color w:val="auto"/>
                <w:kern w:val="2"/>
                <w:sz w:val="21"/>
                <w:highlight w:val="none"/>
              </w:rPr>
              <w:t>③</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报价低于</w:t>
            </w:r>
            <w:r>
              <w:rPr>
                <w:rFonts w:hint="eastAsia" w:cs="宋体"/>
                <w:b w:val="0"/>
                <w:bCs w:val="0"/>
                <w:color w:val="auto"/>
                <w:kern w:val="2"/>
                <w:sz w:val="21"/>
                <w:highlight w:val="none"/>
                <w:lang w:val="en-US" w:eastAsia="zh-CN"/>
              </w:rPr>
              <w:t>比选</w:t>
            </w:r>
            <w:r>
              <w:rPr>
                <w:rFonts w:hint="eastAsia" w:ascii="宋体" w:eastAsia="宋体" w:cs="宋体"/>
                <w:b w:val="0"/>
                <w:bCs w:val="0"/>
                <w:color w:val="auto"/>
                <w:kern w:val="2"/>
                <w:sz w:val="21"/>
                <w:highlight w:val="none"/>
              </w:rPr>
              <w:t>人公布的最高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限价的85%（不含85%</w:t>
            </w:r>
            <w:r>
              <w:rPr>
                <w:rFonts w:hint="eastAsia" w:ascii="宋体" w:eastAsia="宋体" w:cs="宋体"/>
                <w:b w:val="0"/>
                <w:bCs w:val="0"/>
                <w:color w:val="auto"/>
                <w:kern w:val="2"/>
                <w:sz w:val="21"/>
                <w:highlight w:val="none"/>
                <w:lang w:eastAsia="zh-CN"/>
              </w:rPr>
              <w:t>）；</w:t>
            </w:r>
          </w:p>
          <w:p w14:paraId="0D3A09CB">
            <w:pPr>
              <w:pStyle w:val="25"/>
              <w:spacing w:line="480" w:lineRule="exact"/>
              <w:ind w:firstLine="420" w:firstLineChars="200"/>
              <w:rPr>
                <w:rFonts w:hint="eastAsia" w:eastAsia="宋体"/>
                <w:highlight w:val="none"/>
                <w:lang w:val="en-US" w:eastAsia="zh-CN"/>
              </w:rPr>
            </w:pPr>
            <w:r>
              <w:rPr>
                <w:rFonts w:hint="eastAsia" w:ascii="宋体" w:eastAsia="宋体" w:cs="宋体"/>
                <w:b w:val="0"/>
                <w:bCs w:val="0"/>
                <w:color w:val="auto"/>
                <w:kern w:val="2"/>
                <w:sz w:val="21"/>
                <w:highlight w:val="none"/>
              </w:rPr>
              <w:t>④当所有报价均低于最高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限价的85%，按照最高</w:t>
            </w:r>
            <w:r>
              <w:rPr>
                <w:rFonts w:hint="eastAsia" w:cs="宋体"/>
                <w:b w:val="0"/>
                <w:bCs w:val="0"/>
                <w:color w:val="auto"/>
                <w:kern w:val="2"/>
                <w:sz w:val="21"/>
                <w:highlight w:val="none"/>
                <w:lang w:val="en-US" w:eastAsia="zh-CN"/>
              </w:rPr>
              <w:t>比选申请</w:t>
            </w:r>
            <w:r>
              <w:rPr>
                <w:rFonts w:hint="eastAsia" w:ascii="宋体" w:eastAsia="宋体" w:cs="宋体"/>
                <w:b w:val="0"/>
                <w:bCs w:val="0"/>
                <w:color w:val="auto"/>
                <w:kern w:val="2"/>
                <w:sz w:val="21"/>
                <w:highlight w:val="none"/>
              </w:rPr>
              <w:t>限价的85%作为</w:t>
            </w:r>
            <w:r>
              <w:rPr>
                <w:rFonts w:hint="eastAsia" w:cs="宋体"/>
                <w:b w:val="0"/>
                <w:bCs w:val="0"/>
                <w:color w:val="auto"/>
                <w:kern w:val="2"/>
                <w:sz w:val="21"/>
                <w:highlight w:val="none"/>
                <w:lang w:eastAsia="zh-CN"/>
              </w:rPr>
              <w:t>评审</w:t>
            </w:r>
            <w:r>
              <w:rPr>
                <w:rFonts w:hint="eastAsia" w:ascii="宋体" w:eastAsia="宋体" w:cs="宋体"/>
                <w:b w:val="0"/>
                <w:bCs w:val="0"/>
                <w:color w:val="auto"/>
                <w:kern w:val="2"/>
                <w:sz w:val="21"/>
                <w:highlight w:val="none"/>
              </w:rPr>
              <w:t>基准价。</w:t>
            </w:r>
          </w:p>
        </w:tc>
      </w:tr>
      <w:tr w14:paraId="14E35A11">
        <w:tblPrEx>
          <w:tblCellMar>
            <w:top w:w="0" w:type="dxa"/>
            <w:left w:w="108" w:type="dxa"/>
            <w:bottom w:w="0" w:type="dxa"/>
            <w:right w:w="108" w:type="dxa"/>
          </w:tblCellMar>
        </w:tblPrEx>
        <w:trPr>
          <w:gridAfter w:val="1"/>
          <w:wAfter w:w="9" w:type="dxa"/>
          <w:trHeight w:val="419" w:hRule="atLeast"/>
          <w:jc w:val="center"/>
        </w:trPr>
        <w:tc>
          <w:tcPr>
            <w:tcW w:w="851" w:type="dxa"/>
            <w:tcBorders>
              <w:top w:val="single" w:color="auto" w:sz="4" w:space="0"/>
              <w:left w:val="single" w:color="auto" w:sz="4" w:space="0"/>
              <w:bottom w:val="single" w:color="auto" w:sz="4" w:space="0"/>
              <w:right w:val="single" w:color="000000" w:sz="4" w:space="0"/>
            </w:tcBorders>
            <w:vAlign w:val="center"/>
          </w:tcPr>
          <w:p w14:paraId="4A881EC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4</w:t>
            </w:r>
          </w:p>
        </w:tc>
        <w:tc>
          <w:tcPr>
            <w:tcW w:w="1693" w:type="dxa"/>
            <w:tcBorders>
              <w:top w:val="single" w:color="auto" w:sz="4" w:space="0"/>
              <w:left w:val="single" w:color="000000" w:sz="4" w:space="0"/>
              <w:bottom w:val="single" w:color="auto" w:sz="4" w:space="0"/>
              <w:right w:val="single" w:color="auto" w:sz="4" w:space="0"/>
            </w:tcBorders>
            <w:vAlign w:val="center"/>
          </w:tcPr>
          <w:p w14:paraId="190A616A">
            <w:pPr>
              <w:spacing w:line="360" w:lineRule="auto"/>
              <w:jc w:val="center"/>
              <w:rPr>
                <w:rFonts w:ascii="Times New Roman" w:hAnsi="Times New Roman" w:cs="Times New Roman"/>
                <w:kern w:val="0"/>
                <w:szCs w:val="21"/>
                <w:highlight w:val="none"/>
              </w:rPr>
            </w:pPr>
            <w:r>
              <w:rPr>
                <w:rFonts w:ascii="Times New Roman" w:hAnsi="Times New Roman" w:cs="Times New Roman"/>
                <w:kern w:val="0"/>
                <w:szCs w:val="21"/>
                <w:highlight w:val="none"/>
              </w:rPr>
              <w:t>推荐</w:t>
            </w:r>
          </w:p>
          <w:p w14:paraId="48575A91">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kern w:val="0"/>
                <w:szCs w:val="21"/>
                <w:highlight w:val="none"/>
              </w:rPr>
              <w:t>中选</w:t>
            </w:r>
            <w:r>
              <w:rPr>
                <w:rFonts w:ascii="Times New Roman" w:hAnsi="Times New Roman" w:cs="Times New Roman"/>
                <w:kern w:val="0"/>
                <w:szCs w:val="21"/>
                <w:highlight w:val="none"/>
              </w:rPr>
              <w:t>候选人</w:t>
            </w:r>
          </w:p>
        </w:tc>
        <w:tc>
          <w:tcPr>
            <w:tcW w:w="7295" w:type="dxa"/>
            <w:gridSpan w:val="3"/>
            <w:tcBorders>
              <w:top w:val="single" w:color="auto" w:sz="4" w:space="0"/>
              <w:left w:val="single" w:color="000000" w:sz="4" w:space="0"/>
              <w:bottom w:val="single" w:color="auto" w:sz="4" w:space="0"/>
              <w:right w:val="single" w:color="000000" w:sz="4" w:space="0"/>
            </w:tcBorders>
            <w:vAlign w:val="center"/>
          </w:tcPr>
          <w:p w14:paraId="74DAAF17">
            <w:pPr>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采用综合评分法，推荐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候选人具体原则为：</w:t>
            </w:r>
          </w:p>
          <w:p w14:paraId="76E57FA5">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委员会对通过</w:t>
            </w:r>
            <w:r>
              <w:rPr>
                <w:rFonts w:hint="default" w:ascii="Times New Roman" w:hAnsi="Times New Roman" w:cs="Times New Roman"/>
                <w:color w:val="auto"/>
                <w:szCs w:val="21"/>
                <w:highlight w:val="none"/>
                <w:lang w:val="en-US" w:eastAsia="zh-CN"/>
              </w:rPr>
              <w:t>初步</w:t>
            </w:r>
            <w:r>
              <w:rPr>
                <w:rFonts w:hint="default" w:ascii="Times New Roman" w:hAnsi="Times New Roman" w:cs="Times New Roman"/>
                <w:color w:val="auto"/>
                <w:szCs w:val="21"/>
                <w:highlight w:val="none"/>
              </w:rPr>
              <w:t>评审的所有</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人，按照综合得分由高到低进行排序。若多个</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人综合得分相同时，评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委员会依次按照以下原则排序：</w:t>
            </w:r>
          </w:p>
          <w:p w14:paraId="308B3366">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①评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价低的</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 xml:space="preserve">人优先； </w:t>
            </w:r>
          </w:p>
          <w:p w14:paraId="2783C6BF">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②</w:t>
            </w:r>
            <w:r>
              <w:rPr>
                <w:rFonts w:hint="default" w:ascii="Times New Roman" w:hAnsi="Times New Roman" w:cs="Times New Roman"/>
                <w:color w:val="auto"/>
                <w:szCs w:val="21"/>
                <w:highlight w:val="none"/>
                <w:lang w:val="en-US" w:eastAsia="zh-CN"/>
              </w:rPr>
              <w:t>商务和技术</w:t>
            </w:r>
            <w:r>
              <w:rPr>
                <w:rFonts w:hint="eastAsia" w:ascii="Times New Roman" w:hAnsi="Times New Roman" w:cs="Times New Roman"/>
                <w:color w:val="auto"/>
                <w:szCs w:val="21"/>
                <w:highlight w:val="none"/>
                <w:lang w:val="en-US" w:eastAsia="zh-CN"/>
              </w:rPr>
              <w:t>部分合计</w:t>
            </w:r>
            <w:r>
              <w:rPr>
                <w:rFonts w:hint="default" w:ascii="Times New Roman" w:hAnsi="Times New Roman" w:cs="Times New Roman"/>
                <w:color w:val="auto"/>
                <w:szCs w:val="21"/>
                <w:highlight w:val="none"/>
                <w:lang w:val="en-US" w:eastAsia="zh-CN"/>
              </w:rPr>
              <w:t>得分高的比选申请人优先</w:t>
            </w:r>
            <w:r>
              <w:rPr>
                <w:rFonts w:hint="default" w:ascii="Times New Roman" w:hAnsi="Times New Roman" w:cs="Times New Roman"/>
                <w:color w:val="auto"/>
                <w:szCs w:val="21"/>
                <w:highlight w:val="none"/>
              </w:rPr>
              <w:t xml:space="preserve">； </w:t>
            </w:r>
          </w:p>
          <w:p w14:paraId="7EAC5258">
            <w:pPr>
              <w:spacing w:line="36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若上述情况都相同时，则按有利于</w:t>
            </w:r>
            <w:r>
              <w:rPr>
                <w:rFonts w:hint="default" w:ascii="Times New Roman" w:hAnsi="Times New Roman" w:cs="Times New Roman"/>
                <w:color w:val="auto"/>
                <w:szCs w:val="21"/>
                <w:highlight w:val="none"/>
                <w:lang w:val="en-US" w:eastAsia="zh-CN"/>
              </w:rPr>
              <w:t>比选</w:t>
            </w:r>
            <w:r>
              <w:rPr>
                <w:rFonts w:hint="default" w:ascii="Times New Roman" w:hAnsi="Times New Roman" w:cs="Times New Roman"/>
                <w:color w:val="auto"/>
                <w:szCs w:val="21"/>
                <w:highlight w:val="none"/>
              </w:rPr>
              <w:t>人的原则进行推荐。</w:t>
            </w:r>
          </w:p>
          <w:p w14:paraId="5DEF0BA0">
            <w:pPr>
              <w:widowControl/>
              <w:adjustRightInd/>
              <w:snapToGrid/>
              <w:spacing w:line="36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委员会按最终排序推荐前3名</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候选人（若不足3名，则按相应</w:t>
            </w:r>
            <w:r>
              <w:rPr>
                <w:rFonts w:hint="default" w:ascii="Times New Roman" w:hAnsi="Times New Roman" w:cs="Times New Roman"/>
                <w:color w:val="auto"/>
                <w:szCs w:val="21"/>
                <w:highlight w:val="none"/>
                <w:lang w:val="en-US" w:eastAsia="zh-CN"/>
              </w:rPr>
              <w:t>实际</w:t>
            </w:r>
            <w:r>
              <w:rPr>
                <w:rFonts w:hint="default" w:ascii="Times New Roman" w:hAnsi="Times New Roman" w:cs="Times New Roman"/>
                <w:color w:val="auto"/>
                <w:szCs w:val="21"/>
                <w:highlight w:val="none"/>
              </w:rPr>
              <w:t>数量推荐）。</w:t>
            </w:r>
          </w:p>
          <w:p w14:paraId="688075BC">
            <w:pPr>
              <w:spacing w:line="360" w:lineRule="auto"/>
              <w:jc w:val="left"/>
              <w:rPr>
                <w:rFonts w:ascii="Times New Roman" w:hAnsi="Times New Roman" w:cs="Times New Roman"/>
                <w:color w:val="auto"/>
                <w:kern w:val="2"/>
                <w:szCs w:val="21"/>
                <w:highlight w:val="none"/>
              </w:rPr>
            </w:pPr>
            <w:r>
              <w:rPr>
                <w:rFonts w:hint="default" w:ascii="Times New Roman" w:hAnsi="Times New Roman" w:cs="Times New Roman"/>
                <w:color w:val="auto"/>
                <w:szCs w:val="21"/>
                <w:highlight w:val="none"/>
              </w:rPr>
              <w:t>3.在评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过程中，如有效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不足3个，评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委员会应当对有效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是否仍具有竞争性进行评审。评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委员会一致认为有效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仍具有竞争性的，应当继续推荐</w:t>
            </w:r>
            <w:r>
              <w:rPr>
                <w:rFonts w:hint="default" w:ascii="Times New Roman" w:hAnsi="Times New Roman" w:cs="Times New Roman"/>
                <w:color w:val="auto"/>
                <w:szCs w:val="21"/>
                <w:highlight w:val="none"/>
                <w:lang w:eastAsia="zh-CN"/>
              </w:rPr>
              <w:t>中选</w:t>
            </w:r>
            <w:r>
              <w:rPr>
                <w:rFonts w:hint="default" w:ascii="Times New Roman" w:hAnsi="Times New Roman" w:cs="Times New Roman"/>
                <w:color w:val="auto"/>
                <w:szCs w:val="21"/>
                <w:highlight w:val="none"/>
              </w:rPr>
              <w:t>候选人，并在评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报告中予以说明。评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委员会对有效</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是否仍具有竞争性无法达成一致意见的，应当否决全部</w:t>
            </w:r>
            <w:r>
              <w:rPr>
                <w:rFonts w:hint="default" w:ascii="Times New Roman" w:hAnsi="Times New Roman" w:cs="Times New Roman"/>
                <w:color w:val="auto"/>
                <w:szCs w:val="21"/>
                <w:highlight w:val="none"/>
                <w:lang w:val="en-US" w:eastAsia="zh-CN"/>
              </w:rPr>
              <w:t>比选申请</w:t>
            </w:r>
            <w:r>
              <w:rPr>
                <w:rFonts w:hint="default" w:ascii="Times New Roman" w:hAnsi="Times New Roman" w:cs="Times New Roman"/>
                <w:color w:val="auto"/>
                <w:szCs w:val="21"/>
                <w:highlight w:val="none"/>
              </w:rPr>
              <w:t>，并在评</w:t>
            </w:r>
            <w:r>
              <w:rPr>
                <w:rFonts w:hint="eastAsia" w:ascii="Times New Roman" w:hAnsi="Times New Roman" w:cs="Times New Roman"/>
                <w:color w:val="auto"/>
                <w:szCs w:val="21"/>
                <w:highlight w:val="none"/>
                <w:lang w:val="en-US" w:eastAsia="zh-CN"/>
              </w:rPr>
              <w:t>审</w:t>
            </w:r>
            <w:r>
              <w:rPr>
                <w:rFonts w:hint="default" w:ascii="Times New Roman" w:hAnsi="Times New Roman" w:cs="Times New Roman"/>
                <w:color w:val="auto"/>
                <w:szCs w:val="21"/>
                <w:highlight w:val="none"/>
              </w:rPr>
              <w:t>报告中</w:t>
            </w:r>
            <w:r>
              <w:rPr>
                <w:rFonts w:hint="eastAsia" w:ascii="Times New Roman" w:hAnsi="Times New Roman" w:cs="Times New Roman"/>
                <w:color w:val="auto"/>
                <w:szCs w:val="21"/>
                <w:highlight w:val="none"/>
                <w:lang w:eastAsia="zh-CN"/>
              </w:rPr>
              <w:t>作出</w:t>
            </w:r>
            <w:r>
              <w:rPr>
                <w:rFonts w:hint="default" w:ascii="Times New Roman" w:hAnsi="Times New Roman" w:cs="Times New Roman"/>
                <w:color w:val="auto"/>
                <w:szCs w:val="21"/>
                <w:highlight w:val="none"/>
              </w:rPr>
              <w:t>说明。</w:t>
            </w:r>
          </w:p>
        </w:tc>
      </w:tr>
    </w:tbl>
    <w:p w14:paraId="4BCB8A61">
      <w:pPr>
        <w:spacing w:line="500" w:lineRule="exact"/>
        <w:rPr>
          <w:rFonts w:ascii="Times New Roman" w:hAnsi="Times New Roman" w:cs="Times New Roman"/>
          <w:color w:val="000000"/>
          <w:szCs w:val="21"/>
          <w:highlight w:val="none"/>
        </w:rPr>
      </w:pPr>
      <w:r>
        <w:rPr>
          <w:rFonts w:ascii="Times New Roman" w:hAnsi="Times New Roman" w:cs="Times New Roman"/>
          <w:color w:val="000000"/>
          <w:szCs w:val="21"/>
          <w:highlight w:val="none"/>
        </w:rPr>
        <w:t>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办法前附表内容和评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办法不一致的，以评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办法前附表为准。</w:t>
      </w:r>
    </w:p>
    <w:p w14:paraId="4ECB4237">
      <w:pPr>
        <w:widowControl/>
        <w:jc w:val="left"/>
        <w:rPr>
          <w:rFonts w:ascii="Times New Roman" w:hAnsi="Times New Roman" w:cs="Times New Roman"/>
          <w:b/>
          <w:bCs/>
          <w:color w:val="000000"/>
          <w:sz w:val="24"/>
          <w:szCs w:val="21"/>
          <w:highlight w:val="none"/>
        </w:rPr>
      </w:pPr>
      <w:r>
        <w:rPr>
          <w:rFonts w:ascii="Times New Roman" w:hAnsi="Times New Roman" w:cs="Times New Roman"/>
          <w:color w:val="000000"/>
          <w:szCs w:val="21"/>
          <w:highlight w:val="none"/>
        </w:rPr>
        <w:br w:type="page"/>
      </w:r>
    </w:p>
    <w:p w14:paraId="4362F978">
      <w:pPr>
        <w:pStyle w:val="4"/>
        <w:rPr>
          <w:color w:val="000000"/>
          <w:sz w:val="21"/>
          <w:szCs w:val="21"/>
          <w:highlight w:val="none"/>
        </w:rPr>
      </w:pPr>
      <w:r>
        <w:rPr>
          <w:color w:val="000000"/>
          <w:sz w:val="21"/>
          <w:szCs w:val="21"/>
          <w:highlight w:val="none"/>
        </w:rPr>
        <w:t>1</w:t>
      </w:r>
      <w:r>
        <w:rPr>
          <w:rFonts w:hint="eastAsia"/>
          <w:color w:val="000000"/>
          <w:sz w:val="21"/>
          <w:szCs w:val="21"/>
          <w:highlight w:val="none"/>
          <w:lang w:val="en-US" w:eastAsia="zh-CN"/>
        </w:rPr>
        <w:t>.</w:t>
      </w:r>
      <w:r>
        <w:rPr>
          <w:color w:val="000000"/>
          <w:sz w:val="21"/>
          <w:szCs w:val="21"/>
          <w:highlight w:val="none"/>
        </w:rPr>
        <w:t>评审方法</w:t>
      </w:r>
    </w:p>
    <w:p w14:paraId="5A47C8AE">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本次评审采用</w:t>
      </w:r>
      <w:r>
        <w:rPr>
          <w:rFonts w:ascii="Times New Roman" w:hAnsi="Times New Roman" w:cs="Times New Roman"/>
          <w:b/>
          <w:color w:val="000000"/>
          <w:szCs w:val="21"/>
          <w:highlight w:val="none"/>
        </w:rPr>
        <w:t>综合评</w:t>
      </w:r>
      <w:r>
        <w:rPr>
          <w:rFonts w:hint="eastAsia" w:ascii="Times New Roman" w:hAnsi="Times New Roman" w:cs="Times New Roman"/>
          <w:b/>
          <w:color w:val="000000"/>
          <w:szCs w:val="21"/>
          <w:highlight w:val="none"/>
        </w:rPr>
        <w:t>分</w:t>
      </w:r>
      <w:r>
        <w:rPr>
          <w:rFonts w:ascii="Times New Roman" w:hAnsi="Times New Roman" w:cs="Times New Roman"/>
          <w:b/>
          <w:color w:val="000000"/>
          <w:szCs w:val="21"/>
          <w:highlight w:val="none"/>
        </w:rPr>
        <w:t>法</w:t>
      </w:r>
      <w:r>
        <w:rPr>
          <w:rFonts w:ascii="Times New Roman" w:hAnsi="Times New Roman" w:cs="Times New Roman"/>
          <w:color w:val="000000"/>
          <w:szCs w:val="21"/>
          <w:highlight w:val="none"/>
        </w:rPr>
        <w:t>。评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委员会对满足</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文件实质要求的</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，根据本章第2.2 款规定的量化因素及量化标准进行价格折算，按照</w:t>
      </w:r>
      <w:r>
        <w:rPr>
          <w:rFonts w:ascii="Times New Roman" w:hAnsi="Times New Roman" w:cs="Times New Roman"/>
          <w:b/>
          <w:color w:val="000000"/>
          <w:highlight w:val="none"/>
        </w:rPr>
        <w:t>综合得分</w:t>
      </w:r>
      <w:r>
        <w:rPr>
          <w:rFonts w:ascii="Times New Roman" w:hAnsi="Times New Roman" w:cs="Times New Roman"/>
          <w:color w:val="000000"/>
          <w:highlight w:val="none"/>
        </w:rPr>
        <w:t>由高至低的</w:t>
      </w:r>
      <w:r>
        <w:rPr>
          <w:rFonts w:ascii="Times New Roman" w:hAnsi="Times New Roman" w:cs="Times New Roman"/>
          <w:color w:val="000000"/>
          <w:szCs w:val="21"/>
          <w:highlight w:val="none"/>
        </w:rPr>
        <w:t>顺序确定</w:t>
      </w:r>
      <w:r>
        <w:rPr>
          <w:rFonts w:hint="eastAsia" w:ascii="Times New Roman" w:hAnsi="Times New Roman" w:cs="Times New Roman"/>
          <w:color w:val="000000"/>
          <w:szCs w:val="21"/>
          <w:highlight w:val="none"/>
        </w:rPr>
        <w:t>中选</w:t>
      </w:r>
      <w:r>
        <w:rPr>
          <w:rFonts w:ascii="Times New Roman" w:hAnsi="Times New Roman" w:cs="Times New Roman"/>
          <w:color w:val="000000"/>
          <w:szCs w:val="21"/>
          <w:highlight w:val="none"/>
        </w:rPr>
        <w:t>候选人，但</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报价低于其成本的除外。</w:t>
      </w:r>
    </w:p>
    <w:p w14:paraId="6E69AB0A">
      <w:pPr>
        <w:pStyle w:val="4"/>
        <w:rPr>
          <w:color w:val="000000"/>
          <w:sz w:val="21"/>
          <w:szCs w:val="21"/>
          <w:highlight w:val="none"/>
        </w:rPr>
      </w:pPr>
      <w:r>
        <w:rPr>
          <w:color w:val="000000"/>
          <w:sz w:val="21"/>
          <w:szCs w:val="21"/>
          <w:highlight w:val="none"/>
        </w:rPr>
        <w:t>2</w:t>
      </w:r>
      <w:r>
        <w:rPr>
          <w:rFonts w:hint="eastAsia"/>
          <w:color w:val="000000"/>
          <w:sz w:val="21"/>
          <w:szCs w:val="21"/>
          <w:highlight w:val="none"/>
          <w:lang w:val="en-US" w:eastAsia="zh-CN"/>
        </w:rPr>
        <w:t>.</w:t>
      </w:r>
      <w:r>
        <w:rPr>
          <w:color w:val="000000"/>
          <w:sz w:val="21"/>
          <w:szCs w:val="21"/>
          <w:highlight w:val="none"/>
        </w:rPr>
        <w:t>评审标准</w:t>
      </w:r>
    </w:p>
    <w:p w14:paraId="253830B0">
      <w:pPr>
        <w:pStyle w:val="5"/>
        <w:rPr>
          <w:rFonts w:ascii="Times New Roman" w:hAnsi="Times New Roman"/>
          <w:color w:val="000000"/>
          <w:szCs w:val="21"/>
          <w:highlight w:val="none"/>
        </w:rPr>
      </w:pPr>
      <w:r>
        <w:rPr>
          <w:rFonts w:ascii="Times New Roman" w:hAnsi="Times New Roman"/>
          <w:color w:val="000000"/>
          <w:szCs w:val="21"/>
          <w:highlight w:val="none"/>
        </w:rPr>
        <w:t>2.1 初步评审标准</w:t>
      </w:r>
    </w:p>
    <w:p w14:paraId="3A873364">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2.1.1 形式评审标准：见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60D083D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2.1.2 资格评审标准：见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064655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2.1.3 响应性评审标准：见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4F599B6D">
      <w:pPr>
        <w:pStyle w:val="5"/>
        <w:rPr>
          <w:rFonts w:ascii="Times New Roman" w:hAnsi="Times New Roman"/>
          <w:color w:val="000000"/>
          <w:highlight w:val="none"/>
        </w:rPr>
      </w:pPr>
      <w:r>
        <w:rPr>
          <w:rFonts w:ascii="Times New Roman" w:hAnsi="Times New Roman"/>
          <w:color w:val="000000"/>
          <w:highlight w:val="none"/>
        </w:rPr>
        <w:t>2.2 分值构成与综合评分标准</w:t>
      </w:r>
    </w:p>
    <w:p w14:paraId="6A08C0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2.2.1 分值构成</w:t>
      </w:r>
    </w:p>
    <w:p w14:paraId="42ED0DAC">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（1）商务部分：30分</w:t>
      </w:r>
    </w:p>
    <w:p w14:paraId="795121F6">
      <w:pPr>
        <w:pStyle w:val="5"/>
        <w:spacing w:line="480" w:lineRule="exact"/>
        <w:ind w:firstLine="420" w:firstLineChars="200"/>
        <w:rPr>
          <w:rFonts w:hint="default" w:ascii="Times New Roman" w:hAnsi="Times New Roman" w:eastAsia="宋体" w:cs="Times New Roman"/>
          <w:b w:val="0"/>
          <w:bCs w:val="0"/>
          <w:color w:val="000000"/>
          <w:szCs w:val="21"/>
          <w:highlight w:val="none"/>
          <w:lang w:val="en-US" w:eastAsia="zh-CN"/>
        </w:rPr>
      </w:pPr>
      <w:r>
        <w:rPr>
          <w:rFonts w:hint="default" w:ascii="Times New Roman" w:hAnsi="Times New Roman" w:eastAsia="宋体" w:cs="Times New Roman"/>
          <w:b w:val="0"/>
          <w:bCs w:val="0"/>
          <w:color w:val="000000"/>
          <w:szCs w:val="21"/>
          <w:highlight w:val="none"/>
          <w:lang w:val="en-US" w:eastAsia="zh-CN"/>
        </w:rPr>
        <w:t>（2）技术部分：20分</w:t>
      </w:r>
    </w:p>
    <w:p w14:paraId="015AFD39">
      <w:pPr>
        <w:pStyle w:val="5"/>
        <w:ind w:firstLine="420" w:firstLineChars="200"/>
        <w:rPr>
          <w:rFonts w:ascii="Times New Roman" w:hAnsi="Times New Roman"/>
          <w:b w:val="0"/>
          <w:bCs w:val="0"/>
          <w:color w:val="000000"/>
          <w:szCs w:val="21"/>
          <w:highlight w:val="none"/>
        </w:rPr>
      </w:pPr>
      <w:r>
        <w:rPr>
          <w:rFonts w:hint="default" w:ascii="Times New Roman" w:hAnsi="Times New Roman" w:eastAsia="宋体" w:cs="Times New Roman"/>
          <w:b w:val="0"/>
          <w:bCs w:val="0"/>
          <w:color w:val="000000"/>
          <w:szCs w:val="21"/>
          <w:highlight w:val="none"/>
          <w:lang w:val="en-US" w:eastAsia="zh-CN"/>
        </w:rPr>
        <w:t>（3）</w:t>
      </w:r>
      <w:r>
        <w:rPr>
          <w:rFonts w:hint="eastAsia" w:ascii="Times New Roman" w:hAnsi="Times New Roman" w:eastAsia="宋体" w:cs="Times New Roman"/>
          <w:b w:val="0"/>
          <w:bCs w:val="0"/>
          <w:color w:val="000000"/>
          <w:szCs w:val="21"/>
          <w:highlight w:val="none"/>
          <w:lang w:val="en-US" w:eastAsia="zh-CN"/>
        </w:rPr>
        <w:t>比选申请</w:t>
      </w:r>
      <w:r>
        <w:rPr>
          <w:rFonts w:hint="default" w:ascii="Times New Roman" w:hAnsi="Times New Roman" w:eastAsia="宋体" w:cs="Times New Roman"/>
          <w:b w:val="0"/>
          <w:bCs w:val="0"/>
          <w:color w:val="000000"/>
          <w:szCs w:val="21"/>
          <w:highlight w:val="none"/>
          <w:lang w:val="en-US" w:eastAsia="zh-CN"/>
        </w:rPr>
        <w:t>报价：50分</w:t>
      </w:r>
    </w:p>
    <w:p w14:paraId="099236EA">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2.2.2 评分标准</w:t>
      </w:r>
    </w:p>
    <w:p w14:paraId="5ED2F2B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(1）</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1CC30022">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(2）</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b w:val="0"/>
          <w:bCs w:val="0"/>
          <w:color w:val="000000"/>
          <w:szCs w:val="21"/>
          <w:highlight w:val="none"/>
        </w:rPr>
        <w:t>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30A5563C">
      <w:pPr>
        <w:pStyle w:val="5"/>
        <w:ind w:firstLine="420" w:firstLineChars="200"/>
        <w:rPr>
          <w:rFonts w:ascii="Times New Roman" w:hAnsi="Times New Roman"/>
          <w:b w:val="0"/>
          <w:bCs w:val="0"/>
          <w:color w:val="000000"/>
          <w:szCs w:val="21"/>
          <w:highlight w:val="none"/>
        </w:rPr>
      </w:pPr>
      <w:r>
        <w:rPr>
          <w:rFonts w:ascii="Times New Roman" w:hAnsi="Times New Roman"/>
          <w:b w:val="0"/>
          <w:bCs w:val="0"/>
          <w:color w:val="000000"/>
          <w:szCs w:val="21"/>
          <w:highlight w:val="none"/>
        </w:rPr>
        <w:t>(3）</w:t>
      </w:r>
      <w:r>
        <w:rPr>
          <w:rFonts w:hint="eastAsia" w:ascii="Times New Roman" w:hAnsi="Times New Roman"/>
          <w:b w:val="0"/>
          <w:bCs w:val="0"/>
          <w:color w:val="000000"/>
          <w:szCs w:val="21"/>
          <w:highlight w:val="none"/>
        </w:rPr>
        <w:t>比选申请</w:t>
      </w:r>
      <w:r>
        <w:rPr>
          <w:rFonts w:ascii="Times New Roman" w:hAnsi="Times New Roman"/>
          <w:b w:val="0"/>
          <w:bCs w:val="0"/>
          <w:color w:val="000000"/>
          <w:szCs w:val="21"/>
          <w:highlight w:val="none"/>
        </w:rPr>
        <w:t>报价评分标准：见</w:t>
      </w:r>
      <w:r>
        <w:rPr>
          <w:rFonts w:hint="eastAsia" w:ascii="Times New Roman" w:hAnsi="Times New Roman"/>
          <w:b w:val="0"/>
          <w:bCs w:val="0"/>
          <w:color w:val="000000"/>
          <w:szCs w:val="21"/>
          <w:highlight w:val="none"/>
          <w:lang w:eastAsia="zh-CN"/>
        </w:rPr>
        <w:t>评审</w:t>
      </w:r>
      <w:r>
        <w:rPr>
          <w:rFonts w:ascii="Times New Roman" w:hAnsi="Times New Roman"/>
          <w:b w:val="0"/>
          <w:bCs w:val="0"/>
          <w:color w:val="000000"/>
          <w:szCs w:val="21"/>
          <w:highlight w:val="none"/>
        </w:rPr>
        <w:t>办法前附表。</w:t>
      </w:r>
    </w:p>
    <w:p w14:paraId="7BE3A068">
      <w:pPr>
        <w:pStyle w:val="4"/>
        <w:rPr>
          <w:color w:val="000000"/>
          <w:sz w:val="21"/>
          <w:szCs w:val="21"/>
          <w:highlight w:val="none"/>
        </w:rPr>
      </w:pPr>
      <w:r>
        <w:rPr>
          <w:color w:val="000000"/>
          <w:sz w:val="21"/>
          <w:szCs w:val="21"/>
          <w:highlight w:val="none"/>
        </w:rPr>
        <w:t>3</w:t>
      </w:r>
      <w:r>
        <w:rPr>
          <w:rFonts w:hint="eastAsia"/>
          <w:color w:val="000000"/>
          <w:sz w:val="21"/>
          <w:szCs w:val="21"/>
          <w:highlight w:val="none"/>
          <w:lang w:val="en-US" w:eastAsia="zh-CN"/>
        </w:rPr>
        <w:t>.</w:t>
      </w:r>
      <w:r>
        <w:rPr>
          <w:color w:val="000000"/>
          <w:sz w:val="21"/>
          <w:szCs w:val="21"/>
          <w:highlight w:val="none"/>
        </w:rPr>
        <w:t>评审程序</w:t>
      </w:r>
    </w:p>
    <w:p w14:paraId="398E0159">
      <w:pPr>
        <w:pStyle w:val="5"/>
        <w:ind w:firstLine="420" w:firstLineChars="200"/>
        <w:rPr>
          <w:rFonts w:ascii="Times New Roman" w:hAnsi="Times New Roman"/>
          <w:color w:val="000000"/>
          <w:highlight w:val="none"/>
        </w:rPr>
      </w:pPr>
      <w:r>
        <w:rPr>
          <w:rFonts w:ascii="Times New Roman" w:hAnsi="Times New Roman"/>
          <w:color w:val="000000"/>
          <w:highlight w:val="none"/>
        </w:rPr>
        <w:t>3.1 初步评审</w:t>
      </w:r>
    </w:p>
    <w:p w14:paraId="39A4825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3.1.1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提交第二章“</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须知”第3.5.1 项至第3.5.5 项规定的有关证明和证件的原件，以便核验。评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委员会依据本章第2.1款规定的标准对</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进行初步评审。有一项不符合评审标准的，作否决处理。</w:t>
      </w:r>
    </w:p>
    <w:p w14:paraId="2E59855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3.1.2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有以下情形之一的，其</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作无效处理：</w:t>
      </w:r>
    </w:p>
    <w:p w14:paraId="6F3C911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(l）串通</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或弄虚作假或有其他违法行为的；</w:t>
      </w:r>
    </w:p>
    <w:p w14:paraId="11FFD81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委员会要求澄清、说明或补正的。</w:t>
      </w:r>
    </w:p>
    <w:p w14:paraId="414DE1B7">
      <w:pPr>
        <w:pStyle w:val="5"/>
        <w:ind w:firstLine="420" w:firstLineChars="200"/>
        <w:rPr>
          <w:rFonts w:ascii="Times New Roman" w:hAnsi="Times New Roman"/>
          <w:color w:val="000000"/>
          <w:highlight w:val="none"/>
        </w:rPr>
      </w:pPr>
      <w:r>
        <w:rPr>
          <w:rFonts w:ascii="Times New Roman" w:hAnsi="Times New Roman"/>
          <w:color w:val="000000"/>
          <w:highlight w:val="none"/>
        </w:rPr>
        <w:t>3.2 详细评审</w:t>
      </w:r>
    </w:p>
    <w:p w14:paraId="66D1288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3.2.1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委员会按本章规定的量化因素和分值进行打分，并计算出综合得分。</w:t>
      </w:r>
    </w:p>
    <w:p w14:paraId="4201CD00">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(1）按本章规定的评审因素和分值对</w:t>
      </w:r>
      <w:r>
        <w:rPr>
          <w:rFonts w:hint="default" w:ascii="Times New Roman" w:hAnsi="Times New Roman" w:eastAsia="宋体" w:cs="Times New Roman"/>
          <w:b w:val="0"/>
          <w:bCs w:val="0"/>
          <w:color w:val="000000"/>
          <w:szCs w:val="21"/>
          <w:highlight w:val="none"/>
          <w:lang w:val="en-US" w:eastAsia="zh-CN"/>
        </w:rPr>
        <w:t>商务部分</w:t>
      </w:r>
      <w:r>
        <w:rPr>
          <w:rFonts w:ascii="Times New Roman" w:hAnsi="Times New Roman" w:cs="Times New Roman"/>
          <w:color w:val="000000"/>
          <w:szCs w:val="21"/>
          <w:highlight w:val="none"/>
        </w:rPr>
        <w:t>计算出得分A。</w:t>
      </w:r>
    </w:p>
    <w:p w14:paraId="57AE3BD6">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(2）按本章规定的评审因素和分值对</w:t>
      </w:r>
      <w:r>
        <w:rPr>
          <w:rFonts w:hint="default" w:ascii="Times New Roman" w:hAnsi="Times New Roman" w:eastAsia="宋体" w:cs="Times New Roman"/>
          <w:b w:val="0"/>
          <w:bCs w:val="0"/>
          <w:color w:val="000000"/>
          <w:szCs w:val="21"/>
          <w:highlight w:val="none"/>
          <w:lang w:val="en-US" w:eastAsia="zh-CN"/>
        </w:rPr>
        <w:t>技术部分</w:t>
      </w:r>
      <w:r>
        <w:rPr>
          <w:rFonts w:ascii="Times New Roman" w:hAnsi="Times New Roman" w:cs="Times New Roman"/>
          <w:color w:val="000000"/>
          <w:szCs w:val="21"/>
          <w:highlight w:val="none"/>
        </w:rPr>
        <w:t>计算出得分B。</w:t>
      </w:r>
    </w:p>
    <w:p w14:paraId="2968521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(3）按本章规定的评审因素和分值对</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报价计算出得分C。</w:t>
      </w:r>
    </w:p>
    <w:p w14:paraId="5914DDA1">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3.2.2 评分分值计算保留小数点后两位，小数点后第三位“四舍五入”。</w:t>
      </w:r>
    </w:p>
    <w:p w14:paraId="5BB5B12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3.2.3 </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综合得分＝A 十B 十C 。</w:t>
      </w:r>
    </w:p>
    <w:p w14:paraId="65324558">
      <w:pPr>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3.3</w:t>
      </w:r>
      <w:r>
        <w:rPr>
          <w:rFonts w:hint="eastAsia" w:ascii="Times New Roman" w:hAnsi="Times New Roman" w:cs="Times New Roman"/>
          <w:b/>
          <w:highlight w:val="none"/>
        </w:rPr>
        <w:t>比选申请</w:t>
      </w:r>
      <w:r>
        <w:rPr>
          <w:rFonts w:ascii="Times New Roman" w:hAnsi="Times New Roman" w:cs="Times New Roman"/>
          <w:b/>
          <w:highlight w:val="none"/>
        </w:rPr>
        <w:t>报价文件的澄清和说明</w:t>
      </w:r>
    </w:p>
    <w:p w14:paraId="1B868C7D">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3.3.1 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过程中，评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委员会可以书面形式要求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对所提交</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中含义不明确的内容、明显文字或者计算错误进行书面澄清或说明。评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委员会不接受</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主动提出的澄清、说明。</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不按评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委员会要求澄清或说明的，评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委员会应否决其</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w:t>
      </w:r>
    </w:p>
    <w:p w14:paraId="4271F739">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3.3.2 澄清和说明不得超出</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的范围或者改变</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的实质性内容(算术性错误修正的除外)。</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的书面澄清、说明属于</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的组成部分。</w:t>
      </w:r>
    </w:p>
    <w:p w14:paraId="51F4C1EA">
      <w:pPr>
        <w:autoSpaceDE w:val="0"/>
        <w:autoSpaceDN w:val="0"/>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3.3.3 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委员会不得暗示或者诱导</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作出澄清、说明，对</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提交的澄清、说明有疑问的，可以要求</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进一步澄清或说明，直至满足评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委员会的要求。</w:t>
      </w:r>
    </w:p>
    <w:p w14:paraId="3678971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3.3.4 凡超出</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文件规定的或给发包人带来未曾要求的利益的变化、偏差或其他因素在评</w:t>
      </w:r>
      <w:r>
        <w:rPr>
          <w:rFonts w:hint="eastAsia" w:ascii="Times New Roman" w:hAnsi="Times New Roman" w:cs="Times New Roman"/>
          <w:color w:val="000000"/>
          <w:szCs w:val="21"/>
          <w:highlight w:val="none"/>
          <w:lang w:val="en-US" w:eastAsia="zh-CN"/>
        </w:rPr>
        <w:t>审</w:t>
      </w:r>
      <w:r>
        <w:rPr>
          <w:rFonts w:ascii="Times New Roman" w:hAnsi="Times New Roman" w:cs="Times New Roman"/>
          <w:color w:val="000000"/>
          <w:szCs w:val="21"/>
          <w:highlight w:val="none"/>
        </w:rPr>
        <w:t>时不予考虑。</w:t>
      </w:r>
    </w:p>
    <w:p w14:paraId="29EC5F10">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3.4 否决</w:t>
      </w:r>
      <w:r>
        <w:rPr>
          <w:rFonts w:hint="eastAsia" w:ascii="Times New Roman" w:hAnsi="Times New Roman" w:cs="Times New Roman"/>
          <w:b/>
          <w:highlight w:val="none"/>
        </w:rPr>
        <w:t>比选申请</w:t>
      </w:r>
    </w:p>
    <w:p w14:paraId="2B34343E">
      <w:pPr>
        <w:pStyle w:val="11"/>
        <w:spacing w:line="360" w:lineRule="auto"/>
        <w:ind w:firstLine="411" w:firstLineChars="196"/>
        <w:rPr>
          <w:rFonts w:ascii="Times New Roman" w:hAnsi="Times New Roman" w:cs="Times New Roman"/>
          <w:highlight w:val="none"/>
        </w:rPr>
      </w:pPr>
      <w:r>
        <w:rPr>
          <w:rFonts w:ascii="Times New Roman" w:hAnsi="Times New Roman" w:cs="Times New Roman"/>
          <w:highlight w:val="none"/>
        </w:rPr>
        <w:t>本章评</w:t>
      </w:r>
      <w:r>
        <w:rPr>
          <w:rFonts w:hint="eastAsia" w:ascii="Times New Roman" w:hAnsi="Times New Roman" w:cs="Times New Roman"/>
          <w:highlight w:val="none"/>
          <w:lang w:val="en-US" w:eastAsia="zh-CN"/>
        </w:rPr>
        <w:t>审</w:t>
      </w:r>
      <w:r>
        <w:rPr>
          <w:rFonts w:ascii="Times New Roman" w:hAnsi="Times New Roman" w:cs="Times New Roman"/>
          <w:highlight w:val="none"/>
        </w:rPr>
        <w:t>办法中未列明的要求，均不得作为否决</w:t>
      </w:r>
      <w:r>
        <w:rPr>
          <w:rFonts w:hint="eastAsia" w:ascii="Times New Roman" w:hAnsi="Times New Roman" w:cs="Times New Roman"/>
          <w:highlight w:val="none"/>
        </w:rPr>
        <w:t>比选申请</w:t>
      </w:r>
      <w:r>
        <w:rPr>
          <w:rFonts w:ascii="Times New Roman" w:hAnsi="Times New Roman" w:cs="Times New Roman"/>
          <w:highlight w:val="none"/>
        </w:rPr>
        <w:t>的条件。</w:t>
      </w:r>
    </w:p>
    <w:p w14:paraId="0004DE34">
      <w:pPr>
        <w:pStyle w:val="11"/>
        <w:spacing w:line="360" w:lineRule="auto"/>
        <w:ind w:firstLine="420" w:firstLineChars="200"/>
        <w:rPr>
          <w:rFonts w:ascii="Times New Roman" w:hAnsi="Times New Roman" w:cs="Times New Roman"/>
          <w:b/>
          <w:highlight w:val="none"/>
        </w:rPr>
      </w:pPr>
      <w:r>
        <w:rPr>
          <w:rFonts w:ascii="Times New Roman" w:hAnsi="Times New Roman" w:cs="Times New Roman"/>
          <w:b/>
          <w:highlight w:val="none"/>
        </w:rPr>
        <w:t>3.5评</w:t>
      </w:r>
      <w:r>
        <w:rPr>
          <w:rFonts w:hint="eastAsia" w:ascii="Times New Roman" w:hAnsi="Times New Roman" w:cs="Times New Roman"/>
          <w:b/>
          <w:highlight w:val="none"/>
          <w:lang w:val="en-US" w:eastAsia="zh-CN"/>
        </w:rPr>
        <w:t>审</w:t>
      </w:r>
      <w:r>
        <w:rPr>
          <w:rFonts w:ascii="Times New Roman" w:hAnsi="Times New Roman" w:cs="Times New Roman"/>
          <w:b/>
          <w:highlight w:val="none"/>
        </w:rPr>
        <w:t>结果</w:t>
      </w:r>
    </w:p>
    <w:p w14:paraId="1454C05E">
      <w:pPr>
        <w:pStyle w:val="11"/>
        <w:spacing w:line="360" w:lineRule="auto"/>
        <w:ind w:firstLine="420" w:firstLineChars="200"/>
        <w:rPr>
          <w:rFonts w:ascii="Times New Roman" w:hAnsi="Times New Roman" w:cs="Times New Roman"/>
          <w:bCs/>
          <w:highlight w:val="none"/>
        </w:rPr>
      </w:pPr>
      <w:r>
        <w:rPr>
          <w:rFonts w:ascii="Times New Roman" w:hAnsi="Times New Roman" w:cs="Times New Roman"/>
          <w:bCs/>
          <w:highlight w:val="none"/>
        </w:rPr>
        <w:t>3.5.1 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委员会将按照评</w:t>
      </w:r>
      <w:r>
        <w:rPr>
          <w:rFonts w:hint="eastAsia" w:ascii="Times New Roman" w:hAnsi="Times New Roman" w:cs="Times New Roman"/>
          <w:bCs/>
          <w:highlight w:val="none"/>
          <w:lang w:val="en-US" w:eastAsia="zh-CN"/>
        </w:rPr>
        <w:t>审</w:t>
      </w:r>
      <w:r>
        <w:rPr>
          <w:rFonts w:ascii="Times New Roman" w:hAnsi="Times New Roman" w:cs="Times New Roman"/>
          <w:bCs/>
          <w:highlight w:val="none"/>
        </w:rPr>
        <w:t>办法前附表内容推荐</w:t>
      </w:r>
      <w:r>
        <w:rPr>
          <w:rFonts w:hint="eastAsia" w:ascii="Times New Roman" w:hAnsi="Times New Roman" w:cs="Times New Roman"/>
          <w:bCs/>
          <w:highlight w:val="none"/>
        </w:rPr>
        <w:t>中选</w:t>
      </w:r>
      <w:r>
        <w:rPr>
          <w:rFonts w:ascii="Times New Roman" w:hAnsi="Times New Roman" w:cs="Times New Roman"/>
          <w:bCs/>
          <w:highlight w:val="none"/>
        </w:rPr>
        <w:t>候选人。</w:t>
      </w:r>
    </w:p>
    <w:p w14:paraId="14022792">
      <w:pPr>
        <w:pStyle w:val="11"/>
        <w:spacing w:line="360" w:lineRule="auto"/>
        <w:ind w:firstLine="420" w:firstLineChars="200"/>
        <w:rPr>
          <w:rFonts w:ascii="Times New Roman" w:hAnsi="Times New Roman" w:cs="Times New Roman"/>
          <w:sz w:val="52"/>
          <w:highlight w:val="none"/>
        </w:rPr>
      </w:pPr>
      <w:r>
        <w:rPr>
          <w:rFonts w:ascii="Times New Roman" w:hAnsi="Times New Roman" w:cs="Times New Roman"/>
          <w:bCs/>
          <w:highlight w:val="none"/>
        </w:rPr>
        <w:t>3.5.2 评</w:t>
      </w:r>
      <w:r>
        <w:rPr>
          <w:rFonts w:hint="eastAsia" w:ascii="Times New Roman" w:hAnsi="Times New Roman" w:cs="Times New Roman"/>
          <w:bCs/>
          <w:highlight w:val="none"/>
          <w:lang w:val="en-US" w:eastAsia="zh-CN"/>
        </w:rPr>
        <w:t>审</w:t>
      </w:r>
      <w:r>
        <w:rPr>
          <w:rFonts w:ascii="Times New Roman" w:hAnsi="Times New Roman" w:cs="Times New Roman"/>
          <w:highlight w:val="none"/>
        </w:rPr>
        <w:t>委员会完成评</w:t>
      </w:r>
      <w:r>
        <w:rPr>
          <w:rFonts w:hint="eastAsia" w:ascii="Times New Roman" w:hAnsi="Times New Roman" w:cs="Times New Roman"/>
          <w:highlight w:val="none"/>
          <w:lang w:val="en-US" w:eastAsia="zh-CN"/>
        </w:rPr>
        <w:t>审</w:t>
      </w:r>
      <w:r>
        <w:rPr>
          <w:rFonts w:ascii="Times New Roman" w:hAnsi="Times New Roman" w:cs="Times New Roman"/>
          <w:highlight w:val="none"/>
        </w:rPr>
        <w:t>后，应当向</w:t>
      </w:r>
      <w:r>
        <w:rPr>
          <w:rFonts w:hint="eastAsia" w:ascii="Times New Roman" w:hAnsi="Times New Roman" w:cs="Times New Roman"/>
          <w:highlight w:val="none"/>
        </w:rPr>
        <w:t>比选人</w:t>
      </w:r>
      <w:r>
        <w:rPr>
          <w:rFonts w:ascii="Times New Roman" w:hAnsi="Times New Roman" w:cs="Times New Roman"/>
          <w:highlight w:val="none"/>
        </w:rPr>
        <w:t>提交评</w:t>
      </w:r>
      <w:r>
        <w:rPr>
          <w:rFonts w:hint="eastAsia" w:ascii="Times New Roman" w:hAnsi="Times New Roman" w:cs="Times New Roman"/>
          <w:highlight w:val="none"/>
          <w:lang w:val="en-US" w:eastAsia="zh-CN"/>
        </w:rPr>
        <w:t>审</w:t>
      </w:r>
      <w:r>
        <w:rPr>
          <w:rFonts w:ascii="Times New Roman" w:hAnsi="Times New Roman" w:cs="Times New Roman"/>
          <w:highlight w:val="none"/>
        </w:rPr>
        <w:t>报告。</w:t>
      </w:r>
    </w:p>
    <w:p w14:paraId="4FC830D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103BC156">
      <w:pPr>
        <w:pStyle w:val="11"/>
        <w:keepNext/>
        <w:keepLines/>
        <w:pageBreakBefore w:val="0"/>
        <w:widowControl w:val="0"/>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rPr>
      </w:pPr>
    </w:p>
    <w:p w14:paraId="06863E6C">
      <w:pPr>
        <w:pStyle w:val="2"/>
        <w:numPr>
          <w:ilvl w:val="0"/>
          <w:numId w:val="5"/>
        </w:numPr>
        <w:spacing w:before="340" w:after="330" w:line="576" w:lineRule="auto"/>
        <w:jc w:val="center"/>
        <w:rPr>
          <w:sz w:val="36"/>
          <w:szCs w:val="36"/>
          <w:highlight w:val="none"/>
        </w:rPr>
      </w:pPr>
      <w:r>
        <w:rPr>
          <w:sz w:val="36"/>
          <w:szCs w:val="36"/>
          <w:highlight w:val="none"/>
        </w:rPr>
        <w:t>合同条款及格式</w:t>
      </w:r>
    </w:p>
    <w:p w14:paraId="0A9AC8C8">
      <w:pPr>
        <w:pStyle w:val="3"/>
        <w:spacing w:line="360" w:lineRule="auto"/>
        <w:jc w:val="center"/>
        <w:rPr>
          <w:rFonts w:ascii="Times New Roman" w:hAnsi="Times New Roman" w:eastAsia="微软雅黑"/>
          <w:b w:val="0"/>
          <w:sz w:val="44"/>
          <w:szCs w:val="44"/>
          <w:highlight w:val="none"/>
        </w:rPr>
      </w:pPr>
      <w:r>
        <w:rPr>
          <w:rFonts w:ascii="Times New Roman" w:hAnsi="Times New Roman" w:eastAsia="微软雅黑"/>
          <w:b w:val="0"/>
          <w:sz w:val="44"/>
          <w:szCs w:val="44"/>
          <w:highlight w:val="none"/>
        </w:rPr>
        <w:t>建设工程施工合同</w:t>
      </w:r>
    </w:p>
    <w:p w14:paraId="3199DEF4">
      <w:pPr>
        <w:spacing w:line="360" w:lineRule="auto"/>
        <w:rPr>
          <w:rStyle w:val="26"/>
          <w:rFonts w:ascii="Times New Roman" w:hAnsi="Times New Roman" w:cs="Times New Roman"/>
          <w:color w:val="auto"/>
          <w:sz w:val="32"/>
          <w:szCs w:val="32"/>
          <w:highlight w:val="none"/>
        </w:rPr>
      </w:pPr>
    </w:p>
    <w:p w14:paraId="1E1E3DB3">
      <w:pPr>
        <w:spacing w:line="360" w:lineRule="auto"/>
        <w:rPr>
          <w:rStyle w:val="26"/>
          <w:rFonts w:ascii="Times New Roman" w:hAnsi="Times New Roman" w:cs="Times New Roman"/>
          <w:color w:val="auto"/>
          <w:sz w:val="32"/>
          <w:szCs w:val="32"/>
          <w:highlight w:val="none"/>
        </w:rPr>
      </w:pPr>
    </w:p>
    <w:p w14:paraId="11BBCA70">
      <w:pPr>
        <w:spacing w:line="360" w:lineRule="auto"/>
        <w:ind w:left="1600" w:hanging="1600" w:hangingChars="500"/>
        <w:rPr>
          <w:rStyle w:val="26"/>
          <w:rFonts w:hint="eastAsia" w:ascii="仿宋_GB2312" w:hAnsi="仿宋_GB2312" w:eastAsia="仿宋_GB2312" w:cs="仿宋_GB2312"/>
          <w:b w:val="0"/>
          <w:bCs w:val="0"/>
          <w:color w:val="000000"/>
          <w:kern w:val="0"/>
          <w:sz w:val="32"/>
          <w:szCs w:val="32"/>
          <w:highlight w:val="none"/>
          <w:u w:val="none"/>
          <w:lang w:val="en-US" w:eastAsia="zh-CN" w:bidi="ar-SA"/>
        </w:rPr>
      </w:pPr>
      <w:r>
        <w:rPr>
          <w:rStyle w:val="26"/>
          <w:rFonts w:ascii="Times New Roman" w:hAnsi="Times New Roman" w:eastAsia="宋体" w:cs="Times New Roman"/>
          <w:color w:val="auto"/>
          <w:sz w:val="32"/>
          <w:szCs w:val="32"/>
          <w:highlight w:val="none"/>
        </w:rPr>
        <w:t>工程名称</w:t>
      </w:r>
      <w:r>
        <w:rPr>
          <w:rStyle w:val="26"/>
          <w:rFonts w:hint="eastAsia" w:ascii="Times New Roman" w:hAnsi="Times New Roman" w:eastAsia="宋体" w:cs="Times New Roman"/>
          <w:color w:val="auto"/>
          <w:sz w:val="32"/>
          <w:szCs w:val="32"/>
          <w:highlight w:val="none"/>
          <w:lang w:eastAsia="zh-CN"/>
        </w:rPr>
        <w:t>：</w:t>
      </w:r>
      <w:r>
        <w:rPr>
          <w:rFonts w:hint="eastAsia" w:ascii="仿宋_GB2312" w:hAnsi="仿宋_GB2312" w:eastAsia="仿宋_GB2312" w:cs="仿宋_GB2312"/>
          <w:b w:val="0"/>
          <w:bCs w:val="0"/>
          <w:color w:val="000000"/>
          <w:kern w:val="0"/>
          <w:sz w:val="32"/>
          <w:szCs w:val="32"/>
          <w:highlight w:val="none"/>
          <w:u w:val="none"/>
          <w:lang w:val="en-US" w:eastAsia="zh-CN" w:bidi="ar-SA"/>
        </w:rPr>
        <w:t>G0615线久治至马尔康段高速公路刷经寺服务区充电站项目</w:t>
      </w:r>
    </w:p>
    <w:p w14:paraId="11024F5B">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建设单位（甲方）：</w:t>
      </w:r>
      <w:r>
        <w:rPr>
          <w:rStyle w:val="26"/>
          <w:rFonts w:hint="eastAsia" w:ascii="Times New Roman" w:hAnsi="Times New Roman" w:eastAsia="宋体" w:cs="Times New Roman"/>
          <w:color w:val="auto"/>
          <w:sz w:val="32"/>
          <w:szCs w:val="32"/>
          <w:highlight w:val="none"/>
        </w:rPr>
        <w:t>四川蜀道新能源科技发展有限公司</w:t>
      </w:r>
      <w:r>
        <w:rPr>
          <w:rStyle w:val="26"/>
          <w:rFonts w:ascii="Times New Roman" w:hAnsi="Times New Roman" w:eastAsia="宋体" w:cs="Times New Roman"/>
          <w:color w:val="auto"/>
          <w:sz w:val="32"/>
          <w:szCs w:val="32"/>
          <w:highlight w:val="none"/>
        </w:rPr>
        <w:t xml:space="preserve">            </w:t>
      </w:r>
    </w:p>
    <w:p w14:paraId="45EAA424">
      <w:pPr>
        <w:spacing w:line="360" w:lineRule="auto"/>
        <w:rPr>
          <w:rStyle w:val="26"/>
          <w:rFonts w:hint="default" w:ascii="Times New Roman" w:hAnsi="Times New Roman" w:eastAsia="宋体" w:cs="Times New Roman"/>
          <w:color w:val="auto"/>
          <w:sz w:val="32"/>
          <w:szCs w:val="32"/>
          <w:highlight w:val="red"/>
          <w:lang w:val="en-US" w:eastAsia="zh-CN"/>
        </w:rPr>
      </w:pPr>
      <w:r>
        <w:rPr>
          <w:rStyle w:val="26"/>
          <w:rFonts w:ascii="Times New Roman" w:hAnsi="Times New Roman" w:eastAsia="宋体" w:cs="Times New Roman"/>
          <w:color w:val="auto"/>
          <w:sz w:val="32"/>
          <w:szCs w:val="32"/>
          <w:highlight w:val="none"/>
        </w:rPr>
        <w:t>施工单位</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乙方</w:t>
      </w:r>
      <w:r>
        <w:rPr>
          <w:rStyle w:val="26"/>
          <w:rFonts w:hint="eastAsia" w:ascii="Times New Roman" w:hAnsi="Times New Roman" w:eastAsia="宋体" w:cs="Times New Roman"/>
          <w:color w:val="auto"/>
          <w:sz w:val="32"/>
          <w:szCs w:val="32"/>
          <w:highlight w:val="none"/>
        </w:rPr>
        <w:t>）</w:t>
      </w:r>
      <w:r>
        <w:rPr>
          <w:rStyle w:val="26"/>
          <w:rFonts w:ascii="Times New Roman" w:hAnsi="Times New Roman" w:eastAsia="宋体" w:cs="Times New Roman"/>
          <w:color w:val="auto"/>
          <w:sz w:val="32"/>
          <w:szCs w:val="32"/>
          <w:highlight w:val="none"/>
        </w:rPr>
        <w:t>：</w:t>
      </w:r>
    </w:p>
    <w:p w14:paraId="4AEF87F9">
      <w:pPr>
        <w:spacing w:line="360" w:lineRule="auto"/>
        <w:rPr>
          <w:rStyle w:val="26"/>
          <w:rFonts w:ascii="Times New Roman" w:hAnsi="Times New Roman" w:eastAsia="宋体" w:cs="Times New Roman"/>
          <w:color w:val="auto"/>
          <w:sz w:val="32"/>
          <w:szCs w:val="32"/>
          <w:highlight w:val="none"/>
        </w:rPr>
      </w:pPr>
    </w:p>
    <w:p w14:paraId="4C1C99C4">
      <w:pPr>
        <w:spacing w:line="360" w:lineRule="auto"/>
        <w:rPr>
          <w:rStyle w:val="26"/>
          <w:rFonts w:ascii="Times New Roman" w:hAnsi="Times New Roman" w:eastAsia="宋体" w:cs="Times New Roman"/>
          <w:color w:val="auto"/>
          <w:sz w:val="32"/>
          <w:szCs w:val="32"/>
          <w:highlight w:val="none"/>
        </w:rPr>
      </w:pPr>
    </w:p>
    <w:p w14:paraId="546F45CD">
      <w:pPr>
        <w:spacing w:line="360" w:lineRule="auto"/>
        <w:rPr>
          <w:rStyle w:val="26"/>
          <w:rFonts w:ascii="Times New Roman" w:hAnsi="Times New Roman" w:eastAsia="宋体" w:cs="Times New Roman"/>
          <w:color w:val="auto"/>
          <w:sz w:val="32"/>
          <w:szCs w:val="32"/>
          <w:highlight w:val="none"/>
        </w:rPr>
      </w:pPr>
    </w:p>
    <w:p w14:paraId="2E49A889">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签订地点：</w:t>
      </w:r>
    </w:p>
    <w:p w14:paraId="46980EE1">
      <w:pPr>
        <w:spacing w:line="360" w:lineRule="auto"/>
        <w:rPr>
          <w:rStyle w:val="26"/>
          <w:rFonts w:ascii="Times New Roman" w:hAnsi="Times New Roman" w:eastAsia="宋体" w:cs="Times New Roman"/>
          <w:color w:val="auto"/>
          <w:sz w:val="32"/>
          <w:szCs w:val="32"/>
          <w:highlight w:val="none"/>
        </w:rPr>
      </w:pPr>
      <w:r>
        <w:rPr>
          <w:rStyle w:val="26"/>
          <w:rFonts w:ascii="Times New Roman" w:hAnsi="Times New Roman" w:eastAsia="宋体" w:cs="Times New Roman"/>
          <w:color w:val="auto"/>
          <w:sz w:val="32"/>
          <w:szCs w:val="32"/>
          <w:highlight w:val="none"/>
        </w:rPr>
        <w:t xml:space="preserve">签订时间： </w:t>
      </w:r>
      <w:r>
        <w:rPr>
          <w:rStyle w:val="26"/>
          <w:rFonts w:hint="eastAsia" w:ascii="Times New Roman" w:hAnsi="Times New Roman" w:eastAsia="宋体" w:cs="Times New Roman"/>
          <w:color w:val="auto"/>
          <w:sz w:val="32"/>
          <w:szCs w:val="32"/>
          <w:highlight w:val="none"/>
        </w:rPr>
        <w:t xml:space="preserve">   </w:t>
      </w:r>
      <w:r>
        <w:rPr>
          <w:rStyle w:val="26"/>
          <w:rFonts w:ascii="Times New Roman" w:hAnsi="Times New Roman" w:eastAsia="宋体" w:cs="Times New Roman"/>
          <w:color w:val="auto"/>
          <w:sz w:val="32"/>
          <w:szCs w:val="32"/>
          <w:highlight w:val="none"/>
        </w:rPr>
        <w:t xml:space="preserve"> 年        月       日</w:t>
      </w:r>
    </w:p>
    <w:p w14:paraId="539645ED">
      <w:pPr>
        <w:pStyle w:val="3"/>
        <w:spacing w:line="360" w:lineRule="auto"/>
        <w:rPr>
          <w:rFonts w:ascii="Times New Roman" w:hAnsi="Times New Roman" w:eastAsia="微软雅黑"/>
          <w:b w:val="0"/>
          <w:sz w:val="28"/>
          <w:szCs w:val="28"/>
          <w:highlight w:val="none"/>
        </w:rPr>
        <w:sectPr>
          <w:headerReference r:id="rId7" w:type="default"/>
          <w:footerReference r:id="rId8" w:type="default"/>
          <w:pgSz w:w="11906" w:h="16838"/>
          <w:pgMar w:top="1440" w:right="1800" w:bottom="1440" w:left="1800" w:header="851" w:footer="992" w:gutter="0"/>
          <w:pgNumType w:fmt="numberInDash" w:start="1"/>
          <w:cols w:space="720" w:num="1"/>
          <w:docGrid w:type="linesAndChars" w:linePitch="312" w:charSpace="0"/>
        </w:sectPr>
      </w:pPr>
    </w:p>
    <w:p w14:paraId="406DA349">
      <w:pPr>
        <w:bidi w:val="0"/>
        <w:jc w:val="center"/>
        <w:rPr>
          <w:b/>
          <w:bCs/>
          <w:sz w:val="32"/>
          <w:szCs w:val="32"/>
        </w:rPr>
      </w:pPr>
      <w:r>
        <w:rPr>
          <w:b/>
          <w:bCs/>
          <w:sz w:val="32"/>
          <w:szCs w:val="32"/>
        </w:rPr>
        <w:t>建设工程施工合同</w:t>
      </w:r>
    </w:p>
    <w:p w14:paraId="2D56675F">
      <w:pPr>
        <w:spacing w:line="600" w:lineRule="exact"/>
        <w:rPr>
          <w:rFonts w:hint="eastAsia" w:ascii="宋体" w:hAnsi="宋体" w:cs="Times New Roman"/>
          <w:sz w:val="28"/>
          <w:szCs w:val="28"/>
          <w:highlight w:val="none"/>
        </w:rPr>
      </w:pPr>
      <w:r>
        <w:rPr>
          <w:rFonts w:ascii="宋体" w:hAnsi="宋体" w:cs="Times New Roman"/>
          <w:sz w:val="28"/>
          <w:szCs w:val="28"/>
          <w:highlight w:val="none"/>
        </w:rPr>
        <w:t>建设单位（甲方）：</w:t>
      </w:r>
      <w:r>
        <w:rPr>
          <w:rFonts w:hint="eastAsia" w:ascii="宋体" w:hAnsi="宋体" w:cs="Times New Roman"/>
          <w:sz w:val="28"/>
          <w:szCs w:val="28"/>
          <w:highlight w:val="none"/>
        </w:rPr>
        <w:t>四川蜀道新能源科技发展有限公司</w:t>
      </w:r>
    </w:p>
    <w:p w14:paraId="075D51C1">
      <w:pPr>
        <w:spacing w:line="600" w:lineRule="exact"/>
        <w:rPr>
          <w:rFonts w:ascii="宋体" w:hAnsi="宋体" w:cs="Times New Roman"/>
          <w:sz w:val="28"/>
          <w:szCs w:val="28"/>
          <w:highlight w:val="none"/>
        </w:rPr>
      </w:pPr>
      <w:r>
        <w:rPr>
          <w:rFonts w:ascii="宋体" w:hAnsi="宋体" w:cs="Times New Roman"/>
          <w:sz w:val="28"/>
          <w:szCs w:val="28"/>
          <w:highlight w:val="none"/>
        </w:rPr>
        <w:t>施工单位（乙方）：</w:t>
      </w:r>
    </w:p>
    <w:p w14:paraId="5F374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1．总则</w:t>
      </w:r>
    </w:p>
    <w:p w14:paraId="13AB8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1.1依照《中华人民共和国民法典</w:t>
      </w:r>
      <w:r>
        <w:rPr>
          <w:rFonts w:hint="eastAsia" w:ascii="宋体" w:hAnsi="宋体" w:cs="Times New Roman"/>
          <w:sz w:val="28"/>
          <w:szCs w:val="28"/>
          <w:highlight w:val="none"/>
        </w:rPr>
        <w:t>》《</w:t>
      </w:r>
      <w:r>
        <w:rPr>
          <w:rFonts w:ascii="宋体" w:hAnsi="宋体" w:cs="Times New Roman"/>
          <w:sz w:val="28"/>
          <w:szCs w:val="28"/>
          <w:highlight w:val="none"/>
        </w:rPr>
        <w:t>中华人民共和国建筑法》及其他有关法律、行政法规的规定，遵循平等、自愿、公平和诚实信用的原则，双方就本建设工程施工事项协商一致，订立本合同。</w:t>
      </w:r>
    </w:p>
    <w:p w14:paraId="4B16A7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2．词语定义</w:t>
      </w:r>
    </w:p>
    <w:p w14:paraId="743350F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下列词语除双方另有约定外，应具有本条所赋予的定义：</w:t>
      </w:r>
    </w:p>
    <w:p w14:paraId="71A9FE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2.1有关合同双方和监理等的词语</w:t>
      </w:r>
    </w:p>
    <w:p w14:paraId="1839A1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业主（甲方）：指在协议书中约定，具有工程发包主体资格和支付工程价款能力的当事人以及取得该当事人资格的合法继承人。</w:t>
      </w:r>
    </w:p>
    <w:p w14:paraId="44B1D4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施工单位（</w:t>
      </w:r>
      <w:r>
        <w:rPr>
          <w:rFonts w:ascii="宋体" w:hAnsi="宋体" w:cs="Times New Roman"/>
          <w:sz w:val="28"/>
          <w:szCs w:val="28"/>
          <w:highlight w:val="none"/>
        </w:rPr>
        <w:t>乙方</w:t>
      </w:r>
      <w:r>
        <w:rPr>
          <w:rFonts w:hint="eastAsia" w:ascii="宋体" w:hAnsi="宋体" w:cs="Times New Roman"/>
          <w:sz w:val="28"/>
          <w:szCs w:val="28"/>
          <w:highlight w:val="none"/>
        </w:rPr>
        <w:t>）</w:t>
      </w:r>
      <w:r>
        <w:rPr>
          <w:rFonts w:ascii="宋体" w:hAnsi="宋体" w:cs="Times New Roman"/>
          <w:sz w:val="28"/>
          <w:szCs w:val="28"/>
          <w:highlight w:val="none"/>
        </w:rPr>
        <w:t>：指在协议书中约定，被甲方接受的具有工程施工承包主体资格的当事人以及取得该当事人资格的合法继承人。</w:t>
      </w:r>
    </w:p>
    <w:p w14:paraId="23C8C5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分包人：指本合同中从乙方处分包某一部分工程的当事人。</w:t>
      </w:r>
    </w:p>
    <w:p w14:paraId="13DA724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监理：指由甲方委托对本合同实施监理的当事人。</w:t>
      </w:r>
    </w:p>
    <w:p w14:paraId="50C572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设计单位：指甲方委托的负责本工程设计并取得相应工程设计资质等级证书的单位。</w:t>
      </w:r>
    </w:p>
    <w:p w14:paraId="400FA2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项目经理：指</w:t>
      </w:r>
      <w:r>
        <w:rPr>
          <w:rFonts w:hint="eastAsia" w:ascii="宋体" w:hAnsi="宋体" w:cs="Times New Roman"/>
          <w:sz w:val="28"/>
          <w:szCs w:val="28"/>
          <w:highlight w:val="none"/>
        </w:rPr>
        <w:t>乙</w:t>
      </w:r>
      <w:r>
        <w:rPr>
          <w:rFonts w:ascii="宋体" w:hAnsi="宋体" w:cs="Times New Roman"/>
          <w:sz w:val="28"/>
          <w:szCs w:val="28"/>
          <w:highlight w:val="none"/>
        </w:rPr>
        <w:t>方指定的负责施工管理和合同履行的代表。</w:t>
      </w:r>
    </w:p>
    <w:p w14:paraId="497518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监理单位：指甲方委托的负责本工程监理并取得相应工程监理资质等级证书的单位。</w:t>
      </w:r>
    </w:p>
    <w:p w14:paraId="5F6D05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工程造价</w:t>
      </w:r>
      <w:r>
        <w:rPr>
          <w:rFonts w:hint="eastAsia" w:ascii="宋体" w:hAnsi="宋体" w:cs="Times New Roman"/>
          <w:sz w:val="28"/>
          <w:szCs w:val="28"/>
          <w:highlight w:val="none"/>
        </w:rPr>
        <w:t>咨询单位</w:t>
      </w:r>
      <w:r>
        <w:rPr>
          <w:rFonts w:ascii="宋体" w:hAnsi="宋体" w:cs="Times New Roman"/>
          <w:sz w:val="28"/>
          <w:szCs w:val="28"/>
          <w:highlight w:val="none"/>
        </w:rPr>
        <w:t>：指甲方委托的负责本工程</w:t>
      </w:r>
      <w:r>
        <w:rPr>
          <w:rFonts w:hint="eastAsia" w:ascii="宋体" w:hAnsi="宋体" w:cs="Times New Roman"/>
          <w:sz w:val="28"/>
          <w:szCs w:val="28"/>
          <w:highlight w:val="none"/>
        </w:rPr>
        <w:t>造价咨询</w:t>
      </w:r>
      <w:r>
        <w:rPr>
          <w:rFonts w:ascii="宋体" w:hAnsi="宋体" w:cs="Times New Roman"/>
          <w:sz w:val="28"/>
          <w:szCs w:val="28"/>
          <w:highlight w:val="none"/>
        </w:rPr>
        <w:t>并取得相应资质等级证书的单位。</w:t>
      </w:r>
    </w:p>
    <w:p w14:paraId="6FA1CD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有关合同组成文件的词语</w:t>
      </w:r>
    </w:p>
    <w:p w14:paraId="4FCD76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合同文件（或称合同）：指由甲方与乙方签订的为完成本合同规定的各项工作所列入本合同条款第8条的全部文件和图纸，以及其它在协议书中明确列入的文件和图纸。</w:t>
      </w:r>
    </w:p>
    <w:p w14:paraId="469D0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技术条款：指本合同的技术条款和由监理作出或批准的对技术条款修改或补充的文件。</w:t>
      </w:r>
    </w:p>
    <w:p w14:paraId="37EF64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图纸：指列入合同的招标图纸和甲方按合同规定向乙方提供的所有图纸（包括配套说明和有关数据）和由乙方提交并经监理批准的所有图纸（包括配套说明和有关资料）。</w:t>
      </w:r>
    </w:p>
    <w:p w14:paraId="0B4B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施工图纸：指上述第(3)项规定的图纸中由甲方提供或由乙方提交并经监理批准的直接用于施工的图纸（包括配套说明和有关资料）。</w:t>
      </w:r>
    </w:p>
    <w:p w14:paraId="5B7AB4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(5) </w:t>
      </w:r>
      <w:r>
        <w:rPr>
          <w:rFonts w:hint="eastAsia" w:ascii="宋体" w:hAnsi="宋体" w:cs="Times New Roman"/>
          <w:sz w:val="28"/>
          <w:szCs w:val="28"/>
          <w:highlight w:val="none"/>
        </w:rPr>
        <w:t>比选申请</w:t>
      </w:r>
      <w:r>
        <w:rPr>
          <w:rFonts w:ascii="宋体" w:hAnsi="宋体" w:cs="Times New Roman"/>
          <w:sz w:val="28"/>
          <w:szCs w:val="28"/>
          <w:highlight w:val="none"/>
        </w:rPr>
        <w:t>文件：指乙方为完成本合同规定的各项工作，在</w:t>
      </w:r>
      <w:r>
        <w:rPr>
          <w:rFonts w:hint="eastAsia" w:ascii="宋体" w:hAnsi="宋体" w:cs="Times New Roman"/>
          <w:sz w:val="28"/>
          <w:szCs w:val="28"/>
          <w:highlight w:val="none"/>
        </w:rPr>
        <w:t>比选申请</w:t>
      </w:r>
      <w:r>
        <w:rPr>
          <w:rFonts w:ascii="宋体" w:hAnsi="宋体" w:cs="Times New Roman"/>
          <w:sz w:val="28"/>
          <w:szCs w:val="28"/>
          <w:highlight w:val="none"/>
        </w:rPr>
        <w:t>时按</w:t>
      </w:r>
      <w:r>
        <w:rPr>
          <w:rFonts w:hint="eastAsia" w:ascii="宋体" w:hAnsi="宋体" w:cs="Times New Roman"/>
          <w:sz w:val="28"/>
          <w:szCs w:val="28"/>
          <w:highlight w:val="none"/>
        </w:rPr>
        <w:t>比选文件</w:t>
      </w:r>
      <w:r>
        <w:rPr>
          <w:rFonts w:ascii="宋体" w:hAnsi="宋体" w:cs="Times New Roman"/>
          <w:sz w:val="28"/>
          <w:szCs w:val="28"/>
          <w:highlight w:val="none"/>
        </w:rPr>
        <w:t>的要求向甲方提交的</w:t>
      </w:r>
      <w:r>
        <w:rPr>
          <w:rFonts w:hint="eastAsia" w:ascii="宋体" w:hAnsi="宋体" w:cs="Times New Roman"/>
          <w:sz w:val="28"/>
          <w:szCs w:val="28"/>
          <w:highlight w:val="none"/>
        </w:rPr>
        <w:t>比选申请</w:t>
      </w:r>
      <w:r>
        <w:rPr>
          <w:rFonts w:ascii="宋体" w:hAnsi="宋体" w:cs="Times New Roman"/>
          <w:sz w:val="28"/>
          <w:szCs w:val="28"/>
          <w:highlight w:val="none"/>
        </w:rPr>
        <w:t>文件，含报价</w:t>
      </w:r>
      <w:r>
        <w:rPr>
          <w:rFonts w:hint="eastAsia" w:ascii="宋体" w:hAnsi="宋体" w:cs="Times New Roman"/>
          <w:sz w:val="28"/>
          <w:szCs w:val="28"/>
          <w:highlight w:val="none"/>
        </w:rPr>
        <w:t>函</w:t>
      </w:r>
      <w:r>
        <w:rPr>
          <w:rFonts w:ascii="宋体" w:hAnsi="宋体" w:cs="Times New Roman"/>
          <w:sz w:val="28"/>
          <w:szCs w:val="28"/>
          <w:highlight w:val="none"/>
        </w:rPr>
        <w:t>及其它文件。</w:t>
      </w:r>
    </w:p>
    <w:p w14:paraId="6A1F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中选</w:t>
      </w:r>
      <w:r>
        <w:rPr>
          <w:rFonts w:ascii="宋体" w:hAnsi="宋体" w:cs="Times New Roman"/>
          <w:sz w:val="28"/>
          <w:szCs w:val="28"/>
          <w:highlight w:val="none"/>
        </w:rPr>
        <w:t>通知书：指甲方正式向乙方授标的通知书。</w:t>
      </w:r>
    </w:p>
    <w:p w14:paraId="624040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2.3  有关工程和设备的词语</w:t>
      </w:r>
    </w:p>
    <w:p w14:paraId="3A8070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工程：指永久工程和临时工程或为二者之一。</w:t>
      </w:r>
    </w:p>
    <w:p w14:paraId="28D574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永久工程：指按本合同规定应建造的并移交给甲方使用的工程（包括工程设备）。</w:t>
      </w:r>
    </w:p>
    <w:p w14:paraId="1060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临时工程：指为完成本合同规定的各项工作所需的各类非永久工程（不包括施工设备）。</w:t>
      </w:r>
    </w:p>
    <w:p w14:paraId="5B23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工程设备：指构成或计划构成永久工程一部分的机电设备、金属结构设备、仪器装置及其它类似的设备和装置。</w:t>
      </w:r>
    </w:p>
    <w:p w14:paraId="14ECD8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施工设备：指为完成本合同规定的各项工作所需的全部用于施工的设备、器具和其它物品（不包括临时工程和材料）。</w:t>
      </w:r>
    </w:p>
    <w:p w14:paraId="01830C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乙方设备：指乙方的施工设备。</w:t>
      </w:r>
    </w:p>
    <w:p w14:paraId="180E5E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2.4 合同价格</w:t>
      </w:r>
    </w:p>
    <w:p w14:paraId="6BE7F7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暂定</w:t>
      </w:r>
      <w:r>
        <w:rPr>
          <w:rFonts w:ascii="宋体" w:hAnsi="宋体" w:cs="Times New Roman"/>
          <w:sz w:val="28"/>
          <w:szCs w:val="28"/>
          <w:highlight w:val="none"/>
        </w:rPr>
        <w:t>合同价款：指协议书中写明并签订的</w:t>
      </w:r>
      <w:r>
        <w:rPr>
          <w:rFonts w:hint="eastAsia" w:ascii="宋体" w:hAnsi="宋体" w:cs="Times New Roman"/>
          <w:sz w:val="28"/>
          <w:szCs w:val="28"/>
          <w:highlight w:val="none"/>
        </w:rPr>
        <w:t>暂定</w:t>
      </w:r>
      <w:r>
        <w:rPr>
          <w:rFonts w:ascii="宋体" w:hAnsi="宋体" w:cs="Times New Roman"/>
          <w:sz w:val="28"/>
          <w:szCs w:val="28"/>
          <w:highlight w:val="none"/>
        </w:rPr>
        <w:t>合同总金额。</w:t>
      </w:r>
    </w:p>
    <w:p w14:paraId="23D2D9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2.5 其它词语</w:t>
      </w:r>
    </w:p>
    <w:p w14:paraId="107A9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施工场地（或称工地）：指由甲方提供的用于本合同工程施工的场所以及在合同中指定作为施工场地组成部分的其它场所。</w:t>
      </w:r>
    </w:p>
    <w:p w14:paraId="765506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书面形式：指任何手写、打印、印刷的各种函件，包括电传、电报、传真和电子邮件。</w:t>
      </w:r>
    </w:p>
    <w:p w14:paraId="13DCDA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小时或天：本合同中规定按小时计算时间，从事件有效开始时计算（不扣除休息时间）；规定按天计算时间的，开始当天不计入，从次日开始计算。时限的最后一天是休息日或者其他法定节假日的，以节假日次日为时限的最后一天，但竣工日期除外。时限的最后一天的截止时间为当日24时。</w:t>
      </w:r>
    </w:p>
    <w:p w14:paraId="668E66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暂列金（预留金）：指由甲方在《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》中专项列出的用于签订协议书时尚未确定或不可预见项目的预留金额</w:t>
      </w:r>
      <w:r>
        <w:rPr>
          <w:rFonts w:hint="eastAsia" w:ascii="宋体" w:hAnsi="宋体" w:cs="Times New Roman"/>
          <w:sz w:val="28"/>
          <w:szCs w:val="28"/>
          <w:highlight w:val="none"/>
        </w:rPr>
        <w:t>，若出现新增工程项目，项目费用可在暂列金（预留金）中支出，若未出现上述情况，暂列金（预留金）在最终工程项目结算时予以扣除。</w:t>
      </w:r>
    </w:p>
    <w:p w14:paraId="48270F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2.6 有关工期的词语</w:t>
      </w:r>
    </w:p>
    <w:p w14:paraId="25C245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工期：指甲方与乙方在协议书中约定，按总日历天数（包括法定节假日）计算的承包天数。</w:t>
      </w:r>
    </w:p>
    <w:p w14:paraId="0F0C6D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开工通知：指甲方通知乙方开工的函件。</w:t>
      </w:r>
    </w:p>
    <w:p w14:paraId="2C9663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开工日期：指甲方与乙方在协议书中约定，乙方开始施工的绝对或相对的日期。</w:t>
      </w:r>
    </w:p>
    <w:p w14:paraId="65C7A8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竣工日期：指甲方与乙方在协议书中约定，乙方完成承包范围内工程的绝对或相对的日期，为最后一个单位工程的竣工时间。</w:t>
      </w:r>
    </w:p>
    <w:p w14:paraId="1A585E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2.7不可抗力</w:t>
      </w:r>
      <w:r>
        <w:rPr>
          <w:rFonts w:hint="eastAsia" w:ascii="宋体" w:hAnsi="宋体" w:cs="Times New Roman"/>
          <w:sz w:val="28"/>
          <w:szCs w:val="28"/>
          <w:highlight w:val="none"/>
        </w:rPr>
        <w:t>：</w:t>
      </w:r>
      <w:r>
        <w:rPr>
          <w:rFonts w:ascii="宋体" w:hAnsi="宋体" w:cs="Times New Roman"/>
          <w:sz w:val="28"/>
          <w:szCs w:val="28"/>
          <w:highlight w:val="none"/>
        </w:rPr>
        <w:t>战争、动乱、空中飞行物坠落、暴风雪、洪水、地震等不可预见、不能避免并不能克服的事件。</w:t>
      </w:r>
    </w:p>
    <w:p w14:paraId="04FDC4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2.8追加合同价款：指在合同履行中发生需要增加合同价款的情况，经甲方确认后按</w:t>
      </w:r>
      <w:r>
        <w:rPr>
          <w:rFonts w:hint="eastAsia" w:ascii="宋体" w:hAnsi="宋体" w:cs="Times New Roman"/>
          <w:sz w:val="28"/>
          <w:szCs w:val="28"/>
          <w:highlight w:val="none"/>
        </w:rPr>
        <w:t>合同约定方式</w:t>
      </w:r>
      <w:r>
        <w:rPr>
          <w:rFonts w:ascii="宋体" w:hAnsi="宋体" w:cs="Times New Roman"/>
          <w:sz w:val="28"/>
          <w:szCs w:val="28"/>
          <w:highlight w:val="none"/>
        </w:rPr>
        <w:t>计算价款的方法增加的合同价款。</w:t>
      </w:r>
    </w:p>
    <w:p w14:paraId="4EFA14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3．工程概况</w:t>
      </w:r>
    </w:p>
    <w:p w14:paraId="592CC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3.1工程名称</w:t>
      </w:r>
      <w:r>
        <w:rPr>
          <w:rFonts w:hint="eastAsia" w:ascii="宋体" w:hAnsi="宋体" w:eastAsia="宋体" w:cs="Times New Roman"/>
          <w:b w:val="0"/>
          <w:bCs w:val="0"/>
          <w:kern w:val="2"/>
          <w:sz w:val="28"/>
          <w:szCs w:val="28"/>
          <w:highlight w:val="none"/>
          <w:lang w:val="en-US" w:eastAsia="zh-CN" w:bidi="en-US"/>
        </w:rPr>
        <w:t>：</w:t>
      </w:r>
      <w:r>
        <w:rPr>
          <w:rFonts w:hint="eastAsia" w:ascii="宋体" w:hAnsi="宋体" w:cs="Times New Roman"/>
          <w:sz w:val="28"/>
          <w:szCs w:val="28"/>
          <w:highlight w:val="none"/>
          <w:lang w:val="en-US" w:eastAsia="zh-CN" w:bidi="en-US"/>
        </w:rPr>
        <w:t>G0615线久治至马尔康段高速公路刷经寺服务区充电站项目</w:t>
      </w:r>
      <w:r>
        <w:rPr>
          <w:rFonts w:hint="eastAsia" w:ascii="宋体" w:hAnsi="宋体" w:cs="Times New Roman"/>
          <w:sz w:val="28"/>
          <w:szCs w:val="28"/>
          <w:highlight w:val="none"/>
          <w:lang w:bidi="en-US"/>
        </w:rPr>
        <w:t>（以下简称“本项目”）</w:t>
      </w:r>
    </w:p>
    <w:p w14:paraId="471F6CEC">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3.2工程地点</w:t>
      </w:r>
      <w:r>
        <w:rPr>
          <w:rFonts w:hint="eastAsia" w:ascii="宋体" w:hAnsi="宋体" w:eastAsia="宋体" w:cs="Times New Roman"/>
          <w:sz w:val="28"/>
          <w:szCs w:val="28"/>
          <w:highlight w:val="none"/>
          <w:lang w:val="en-US" w:eastAsia="zh-CN"/>
        </w:rPr>
        <w:t>：G0615线久治至马尔康段高速公路刷经寺服务区</w:t>
      </w:r>
      <w:r>
        <w:rPr>
          <w:rFonts w:hint="eastAsia" w:ascii="宋体" w:hAnsi="宋体" w:cs="Times New Roman"/>
          <w:sz w:val="28"/>
          <w:szCs w:val="28"/>
          <w:highlight w:val="none"/>
          <w:lang w:val="en-US" w:eastAsia="zh-CN"/>
        </w:rPr>
        <w:t>（双侧）</w:t>
      </w:r>
    </w:p>
    <w:p w14:paraId="517513E8">
      <w:pPr>
        <w:widowControl/>
        <w:spacing w:line="578" w:lineRule="exact"/>
        <w:ind w:firstLine="540" w:firstLineChars="193"/>
        <w:rPr>
          <w:rFonts w:hint="eastAsia" w:ascii="宋体" w:hAnsi="宋体" w:eastAsia="宋体" w:cs="Times New Roman"/>
          <w:sz w:val="28"/>
          <w:szCs w:val="28"/>
          <w:highlight w:val="none"/>
        </w:rPr>
      </w:pPr>
      <w:r>
        <w:rPr>
          <w:rFonts w:ascii="宋体" w:hAnsi="宋体" w:cs="Times New Roman"/>
          <w:sz w:val="28"/>
          <w:szCs w:val="28"/>
          <w:highlight w:val="none"/>
        </w:rPr>
        <w:t>3.3</w:t>
      </w:r>
      <w:r>
        <w:rPr>
          <w:rFonts w:hint="eastAsia" w:ascii="宋体" w:hAnsi="宋体" w:eastAsia="宋体" w:cs="Times New Roman"/>
          <w:sz w:val="28"/>
          <w:szCs w:val="28"/>
          <w:highlight w:val="none"/>
        </w:rPr>
        <w:t>工程内容：</w:t>
      </w:r>
    </w:p>
    <w:p w14:paraId="1211419F">
      <w:pPr>
        <w:widowControl/>
        <w:spacing w:line="578" w:lineRule="exact"/>
        <w:ind w:firstLine="540" w:firstLineChars="193"/>
        <w:rPr>
          <w:rFonts w:hint="eastAsia" w:ascii="宋体" w:hAnsi="宋体" w:eastAsia="宋体" w:cs="Times New Roman"/>
          <w:sz w:val="28"/>
          <w:szCs w:val="28"/>
          <w:highlight w:val="none"/>
          <w:lang w:val="en-US" w:eastAsia="zh-CN"/>
        </w:rPr>
      </w:pPr>
      <w:r>
        <w:rPr>
          <w:rFonts w:hint="eastAsia" w:ascii="宋体" w:hAnsi="宋体" w:eastAsia="宋体" w:cs="Times New Roman"/>
          <w:sz w:val="28"/>
          <w:szCs w:val="28"/>
          <w:highlight w:val="none"/>
          <w:lang w:val="en-US" w:eastAsia="zh-CN"/>
        </w:rPr>
        <w:t>（1）包括但不限于新建低压配电箱、电力电缆、保护管、雨棚及相关附属设施施工；监控</w:t>
      </w:r>
      <w:r>
        <w:rPr>
          <w:rFonts w:hint="default" w:ascii="宋体" w:hAnsi="宋体" w:eastAsia="宋体" w:cs="Times New Roman"/>
          <w:sz w:val="28"/>
          <w:szCs w:val="28"/>
          <w:highlight w:val="none"/>
          <w:lang w:val="en-US" w:eastAsia="zh-CN"/>
        </w:rPr>
        <w:t>（</w:t>
      </w:r>
      <w:r>
        <w:rPr>
          <w:rFonts w:hint="eastAsia" w:ascii="宋体" w:hAnsi="宋体" w:eastAsia="宋体" w:cs="Times New Roman"/>
          <w:sz w:val="28"/>
          <w:szCs w:val="28"/>
          <w:highlight w:val="none"/>
          <w:lang w:val="en-US" w:eastAsia="zh-CN"/>
        </w:rPr>
        <w:t>不含</w:t>
      </w:r>
      <w:r>
        <w:rPr>
          <w:rFonts w:hint="default" w:ascii="宋体" w:hAnsi="宋体" w:eastAsia="宋体" w:cs="Times New Roman"/>
          <w:sz w:val="28"/>
          <w:szCs w:val="28"/>
          <w:highlight w:val="none"/>
          <w:lang w:val="en-US" w:eastAsia="zh-CN"/>
        </w:rPr>
        <w:t>定制化大模型枪机</w:t>
      </w:r>
      <w:r>
        <w:rPr>
          <w:rFonts w:hint="eastAsia" w:ascii="宋体" w:hAnsi="宋体" w:eastAsia="宋体" w:cs="Times New Roman"/>
          <w:sz w:val="28"/>
          <w:szCs w:val="28"/>
          <w:highlight w:val="none"/>
          <w:lang w:val="en-US" w:eastAsia="zh-CN"/>
        </w:rPr>
        <w:t>及</w:t>
      </w:r>
      <w:r>
        <w:rPr>
          <w:rFonts w:hint="default" w:ascii="宋体" w:hAnsi="宋体" w:eastAsia="宋体" w:cs="Times New Roman"/>
          <w:sz w:val="28"/>
          <w:szCs w:val="28"/>
          <w:highlight w:val="none"/>
          <w:lang w:val="en-US" w:eastAsia="zh-CN"/>
        </w:rPr>
        <w:t>室外球形摄像头）</w:t>
      </w:r>
      <w:r>
        <w:rPr>
          <w:rFonts w:hint="eastAsia" w:ascii="宋体" w:hAnsi="宋体" w:eastAsia="宋体" w:cs="Times New Roman"/>
          <w:sz w:val="28"/>
          <w:szCs w:val="28"/>
          <w:highlight w:val="none"/>
          <w:lang w:val="en-US" w:eastAsia="zh-CN"/>
        </w:rPr>
        <w:t>、消防、标识标牌等配套设施；电气调试、报验（供电局）等以及为保证充电站按期建设和投营使用所需一切设施设备建设及手续办理、协调、后续服务等。</w:t>
      </w:r>
    </w:p>
    <w:p w14:paraId="4FC331CE">
      <w:pPr>
        <w:widowControl/>
        <w:spacing w:line="578" w:lineRule="exact"/>
        <w:ind w:firstLine="540" w:firstLineChars="193"/>
        <w:rPr>
          <w:rFonts w:hint="eastAsia" w:ascii="宋体" w:hAnsi="宋体" w:cs="Times New Roman"/>
          <w:sz w:val="28"/>
          <w:szCs w:val="28"/>
          <w:highlight w:val="none"/>
          <w:lang w:eastAsia="zh-CN"/>
        </w:rPr>
      </w:pP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2</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须在施</w:t>
      </w:r>
      <w:r>
        <w:rPr>
          <w:rFonts w:hint="eastAsia" w:ascii="宋体" w:hAnsi="宋体" w:cs="Times New Roman"/>
          <w:sz w:val="28"/>
          <w:szCs w:val="28"/>
          <w:highlight w:val="none"/>
          <w:lang w:val="en-US" w:eastAsia="zh-CN"/>
        </w:rPr>
        <w:t>工现场</w:t>
      </w:r>
      <w:r>
        <w:rPr>
          <w:rFonts w:hint="eastAsia" w:ascii="宋体" w:hAnsi="宋体" w:cs="Times New Roman"/>
          <w:sz w:val="28"/>
          <w:szCs w:val="28"/>
          <w:highlight w:val="none"/>
        </w:rPr>
        <w:t>安装适当的监控设备，以实时监测施工活动。该系统应涵盖整个施工现场，并保证监控画面的清晰度和稳定性。同时，监控系统要能够存储录像和图片等相关数据备份，并将施工监控接入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监控系统以备后续检查和调查需要</w:t>
      </w:r>
      <w:r>
        <w:rPr>
          <w:rFonts w:hint="eastAsia" w:ascii="宋体" w:hAnsi="宋体" w:cs="Times New Roman"/>
          <w:sz w:val="28"/>
          <w:szCs w:val="28"/>
          <w:highlight w:val="none"/>
          <w:lang w:eastAsia="zh-CN"/>
        </w:rPr>
        <w:t>。</w:t>
      </w:r>
    </w:p>
    <w:p w14:paraId="09A35DB7">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3</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负责承担施工沿线涉及的征地、青苗占用以及本项目施工过程中</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含外电配套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所发生的各种协调、附属工作直至项目最终验收合格并通电</w:t>
      </w:r>
      <w:r>
        <w:rPr>
          <w:rFonts w:hint="eastAsia" w:ascii="宋体" w:hAnsi="宋体" w:cs="Times New Roman"/>
          <w:sz w:val="28"/>
          <w:szCs w:val="28"/>
          <w:highlight w:val="none"/>
          <w:lang w:val="en-US" w:eastAsia="zh-CN"/>
        </w:rPr>
        <w:t>投营</w:t>
      </w:r>
      <w:r>
        <w:rPr>
          <w:rFonts w:hint="eastAsia" w:ascii="宋体" w:hAnsi="宋体" w:cs="Times New Roman"/>
          <w:sz w:val="28"/>
          <w:szCs w:val="28"/>
          <w:highlight w:val="none"/>
        </w:rPr>
        <w:t>；</w:t>
      </w:r>
    </w:p>
    <w:p w14:paraId="5AC0C83E">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）合理配置无功补偿模块，补偿后确保功率因数达到0.95及以上，若功率因数不达标，由此产生的力调电费由</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承担。</w:t>
      </w:r>
    </w:p>
    <w:p w14:paraId="12190465">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5</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须</w:t>
      </w:r>
      <w:r>
        <w:rPr>
          <w:rFonts w:hint="eastAsia" w:ascii="宋体" w:hAnsi="宋体" w:cs="Times New Roman"/>
          <w:sz w:val="28"/>
          <w:szCs w:val="28"/>
          <w:highlight w:val="none"/>
        </w:rPr>
        <w:t>协助</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申请减免“大工业用电”基本电费工作。</w:t>
      </w:r>
    </w:p>
    <w:p w14:paraId="5AF111C1">
      <w:pPr>
        <w:widowControl/>
        <w:spacing w:line="578" w:lineRule="exact"/>
        <w:ind w:firstLine="540" w:firstLineChars="193"/>
        <w:rPr>
          <w:rFonts w:ascii="宋体" w:hAnsi="宋体" w:cs="Times New Roman"/>
          <w:sz w:val="28"/>
          <w:szCs w:val="28"/>
          <w:highlight w:val="none"/>
        </w:rPr>
      </w:pPr>
      <w:r>
        <w:rPr>
          <w:rFonts w:hint="eastAsia" w:ascii="宋体" w:hAnsi="宋体" w:cs="Times New Roman"/>
          <w:sz w:val="28"/>
          <w:szCs w:val="28"/>
          <w:highlight w:val="none"/>
        </w:rPr>
        <w:t>3.4安全目标：乙方确保项目工程建设期内无生产安全责任事故发生。</w:t>
      </w:r>
    </w:p>
    <w:p w14:paraId="748BF0AF">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4．承包方式及承包范围</w:t>
      </w:r>
    </w:p>
    <w:p w14:paraId="47018664">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4.1承包方式：</w:t>
      </w:r>
      <w:r>
        <w:rPr>
          <w:rFonts w:hint="eastAsia" w:ascii="宋体" w:hAnsi="宋体" w:cs="Times New Roman"/>
          <w:sz w:val="28"/>
          <w:szCs w:val="28"/>
          <w:highlight w:val="none"/>
        </w:rPr>
        <w:t>施工</w:t>
      </w:r>
      <w:r>
        <w:rPr>
          <w:rFonts w:ascii="宋体" w:hAnsi="宋体" w:cs="Times New Roman"/>
          <w:sz w:val="28"/>
          <w:szCs w:val="28"/>
          <w:highlight w:val="none"/>
        </w:rPr>
        <w:t>总承包</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95A0EDA">
      <w:pPr>
        <w:widowControl/>
        <w:numPr>
          <w:ilvl w:val="-1"/>
          <w:numId w:val="0"/>
        </w:numPr>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4.2承包范围：</w:t>
      </w:r>
      <w:r>
        <w:rPr>
          <w:rFonts w:hint="eastAsia" w:ascii="宋体" w:hAnsi="宋体" w:eastAsia="宋体" w:cs="Times New Roman"/>
          <w:sz w:val="28"/>
          <w:szCs w:val="28"/>
          <w:highlight w:val="none"/>
        </w:rPr>
        <w:t>设计施工图纸及</w:t>
      </w:r>
      <w:r>
        <w:rPr>
          <w:rFonts w:hint="eastAsia" w:ascii="宋体" w:hAnsi="宋体" w:cs="Times New Roman"/>
          <w:sz w:val="28"/>
          <w:szCs w:val="28"/>
          <w:highlight w:val="none"/>
          <w:lang w:val="en-US" w:eastAsia="zh-CN"/>
        </w:rPr>
        <w:t>招标控制价（施工图预算）</w:t>
      </w:r>
      <w:r>
        <w:rPr>
          <w:rFonts w:hint="eastAsia" w:ascii="宋体" w:hAnsi="宋体" w:eastAsia="宋体" w:cs="Times New Roman"/>
          <w:sz w:val="28"/>
          <w:szCs w:val="28"/>
          <w:highlight w:val="none"/>
        </w:rPr>
        <w:t>所示以及与本项目相关的全部施工范围</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lang w:val="en-US" w:eastAsia="zh-CN"/>
        </w:rPr>
        <w:t>充电设备采购除外</w:t>
      </w:r>
      <w:r>
        <w:rPr>
          <w:rFonts w:hint="eastAsia" w:ascii="宋体" w:hAnsi="宋体" w:eastAsia="宋体" w:cs="Times New Roman"/>
          <w:sz w:val="28"/>
          <w:szCs w:val="28"/>
          <w:highlight w:val="none"/>
          <w:lang w:eastAsia="zh-CN"/>
        </w:rPr>
        <w:t>）</w:t>
      </w:r>
      <w:r>
        <w:rPr>
          <w:rFonts w:hint="eastAsia" w:ascii="宋体" w:hAnsi="宋体" w:eastAsia="宋体" w:cs="Times New Roman"/>
          <w:sz w:val="28"/>
          <w:szCs w:val="28"/>
          <w:highlight w:val="none"/>
        </w:rPr>
        <w:t>。</w:t>
      </w:r>
    </w:p>
    <w:p w14:paraId="4A88B1CD">
      <w:pPr>
        <w:widowControl/>
        <w:spacing w:line="578" w:lineRule="exact"/>
        <w:ind w:firstLine="540" w:firstLineChars="193"/>
        <w:rPr>
          <w:rFonts w:ascii="宋体" w:hAnsi="宋体" w:cs="Times New Roman"/>
          <w:sz w:val="28"/>
          <w:szCs w:val="28"/>
          <w:highlight w:val="none"/>
        </w:rPr>
      </w:pPr>
      <w:r>
        <w:rPr>
          <w:rFonts w:ascii="宋体" w:hAnsi="宋体" w:cs="Times New Roman"/>
          <w:sz w:val="28"/>
          <w:szCs w:val="28"/>
          <w:highlight w:val="none"/>
        </w:rPr>
        <w:t>5．合同工期</w:t>
      </w:r>
    </w:p>
    <w:p w14:paraId="21F4316C">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开工日期：具体指甲方发出的开工通知中写明的开工日期。</w:t>
      </w:r>
    </w:p>
    <w:p w14:paraId="2AC0C071">
      <w:pPr>
        <w:widowControl/>
        <w:spacing w:line="578" w:lineRule="exact"/>
        <w:ind w:firstLine="540" w:firstLineChars="193"/>
        <w:rPr>
          <w:rFonts w:hint="eastAsia" w:ascii="宋体" w:hAnsi="宋体" w:cs="Times New Roman"/>
          <w:sz w:val="28"/>
          <w:szCs w:val="28"/>
          <w:highlight w:val="none"/>
        </w:rPr>
      </w:pPr>
      <w:r>
        <w:rPr>
          <w:rFonts w:hint="eastAsia" w:ascii="宋体" w:hAnsi="宋体" w:cs="Times New Roman"/>
          <w:sz w:val="28"/>
          <w:szCs w:val="28"/>
          <w:highlight w:val="none"/>
        </w:rPr>
        <w:t>竣工日期（或工程竣工验收日期）：实际竣工日期以甲方盖章确认的工程</w:t>
      </w:r>
      <w:r>
        <w:rPr>
          <w:rFonts w:hint="eastAsia" w:ascii="宋体" w:hAnsi="宋体" w:cs="Times New Roman"/>
          <w:sz w:val="28"/>
          <w:szCs w:val="28"/>
          <w:highlight w:val="none"/>
          <w:lang w:val="en-US" w:eastAsia="zh-CN"/>
        </w:rPr>
        <w:t>竣工验收</w:t>
      </w:r>
      <w:r>
        <w:rPr>
          <w:rFonts w:hint="eastAsia" w:ascii="宋体" w:hAnsi="宋体" w:cs="Times New Roman"/>
          <w:sz w:val="28"/>
          <w:szCs w:val="28"/>
          <w:highlight w:val="none"/>
        </w:rPr>
        <w:t>证书中写明的日期为准。</w:t>
      </w:r>
    </w:p>
    <w:p w14:paraId="509ADAD2">
      <w:pPr>
        <w:widowControl/>
        <w:spacing w:line="578" w:lineRule="exact"/>
        <w:ind w:firstLine="540" w:firstLineChars="193"/>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合同工期总日历天</w:t>
      </w:r>
      <w:r>
        <w:rPr>
          <w:rFonts w:ascii="宋体" w:hAnsi="宋体" w:cs="Times New Roman"/>
          <w:sz w:val="28"/>
          <w:szCs w:val="28"/>
          <w:highlight w:val="none"/>
        </w:rPr>
        <w:t>数：</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60</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个日历天完成比选范围全部内容并验收合格，自甲方发出的开工通知中载明的开工日起算。缺陷责任期为24个月</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缺陷责任期从竣工验收合格日期开始起算</w:t>
      </w:r>
      <w:r>
        <w:rPr>
          <w:rFonts w:hint="eastAsia" w:ascii="宋体" w:hAnsi="宋体" w:cs="Times New Roman"/>
          <w:sz w:val="28"/>
          <w:szCs w:val="28"/>
          <w:highlight w:val="none"/>
          <w:lang w:eastAsia="zh-CN"/>
        </w:rPr>
        <w:t>。</w:t>
      </w:r>
    </w:p>
    <w:p w14:paraId="627CE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5.1开工及延期开工</w:t>
      </w:r>
    </w:p>
    <w:p w14:paraId="00DD1F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5.1.1 开工通知</w:t>
      </w:r>
    </w:p>
    <w:p w14:paraId="281313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甲方根据工程的实际情况向乙方发出开工通知。乙方应在接到开工通知后及时开工，并从开工日起按签订协议书时商定的进度计划进行施工准备。</w:t>
      </w:r>
    </w:p>
    <w:p w14:paraId="61A2D8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5.1.2 甲方延误开工</w:t>
      </w:r>
    </w:p>
    <w:p w14:paraId="2512BE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甲方发出开工通知</w:t>
      </w:r>
      <w:r>
        <w:rPr>
          <w:rFonts w:hint="eastAsia" w:ascii="宋体" w:hAnsi="宋体" w:cs="Times New Roman"/>
          <w:sz w:val="28"/>
          <w:szCs w:val="28"/>
          <w:highlight w:val="none"/>
          <w:lang w:val="en-US" w:eastAsia="zh-CN"/>
        </w:rPr>
        <w:t>后</w:t>
      </w:r>
      <w:r>
        <w:rPr>
          <w:rFonts w:ascii="宋体" w:hAnsi="宋体" w:cs="Times New Roman"/>
          <w:sz w:val="28"/>
          <w:szCs w:val="28"/>
          <w:highlight w:val="none"/>
        </w:rPr>
        <w:t>或甲方未能按合同规定向乙方提供开工的必要条件，乙方有权提出延长工期</w:t>
      </w:r>
      <w:r>
        <w:rPr>
          <w:rFonts w:hint="eastAsia" w:ascii="宋体" w:hAnsi="宋体" w:cs="Times New Roman"/>
          <w:sz w:val="28"/>
          <w:szCs w:val="28"/>
          <w:highlight w:val="none"/>
          <w:lang w:val="en-US" w:eastAsia="zh-CN"/>
        </w:rPr>
        <w:t>，相关费用由甲乙双方协商解决。</w:t>
      </w:r>
    </w:p>
    <w:p w14:paraId="4993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5.1.3 乙方延误进点</w:t>
      </w:r>
    </w:p>
    <w:p w14:paraId="2321F5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接到开工通知后5天内未按进度计划要求及时进点组织施工，甲方有权要求乙方在3天内编制一份赶工措施报告报送甲方审批。赶工措施报告应详细说明不能及时进点的原因和赶工办法，由此增加的费用由乙方承担。</w:t>
      </w:r>
    </w:p>
    <w:p w14:paraId="2B8E60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 工期延误</w:t>
      </w:r>
    </w:p>
    <w:p w14:paraId="4A13CC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 甲方的工期延误</w:t>
      </w:r>
    </w:p>
    <w:p w14:paraId="327DD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在履行合同过程中，由于甲方的下列原因造成工期延误的，乙方有权向甲方申请延长工期，</w:t>
      </w:r>
      <w:r>
        <w:rPr>
          <w:rFonts w:hint="eastAsia" w:ascii="宋体" w:hAnsi="宋体" w:cs="Times New Roman"/>
          <w:sz w:val="28"/>
          <w:szCs w:val="28"/>
          <w:highlight w:val="none"/>
          <w:lang w:val="en-US" w:eastAsia="zh-CN"/>
        </w:rPr>
        <w:t>相关费用由甲乙双方协商解决。</w:t>
      </w:r>
    </w:p>
    <w:p w14:paraId="7D1F86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（1）增加合同中任何一项的工作内容；</w:t>
      </w:r>
    </w:p>
    <w:p w14:paraId="457773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（2）增加合同进度计划中关键线路项目的工程量超过15%；</w:t>
      </w:r>
    </w:p>
    <w:p w14:paraId="10BA5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（3）增加承包范围外的工程项目；</w:t>
      </w:r>
    </w:p>
    <w:p w14:paraId="3DA4E9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（4）改变合同中任何一项工作的质量要求或其他特性；</w:t>
      </w:r>
    </w:p>
    <w:p w14:paraId="0985BB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（5）甲方迟延提供材料、工程设备或变更交货地点的；</w:t>
      </w:r>
    </w:p>
    <w:p w14:paraId="785EE7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（6）因甲方原因导致的暂停施工；</w:t>
      </w:r>
    </w:p>
    <w:p w14:paraId="498088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（7）提供图纸延误</w:t>
      </w:r>
      <w:r>
        <w:rPr>
          <w:rFonts w:hint="eastAsia" w:ascii="宋体" w:hAnsi="宋体" w:cs="Times New Roman"/>
          <w:sz w:val="28"/>
          <w:szCs w:val="28"/>
          <w:highlight w:val="none"/>
        </w:rPr>
        <w:t>。</w:t>
      </w:r>
    </w:p>
    <w:p w14:paraId="081234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5.2.1.1 乙方要求延长工期的处理</w:t>
      </w:r>
    </w:p>
    <w:p w14:paraId="0ECE23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若发生第5.2.1款所列的事件时，乙方应立即通知甲方，并在发出该通知后的7天内，向甲方提交一份</w:t>
      </w:r>
      <w:r>
        <w:rPr>
          <w:rFonts w:hint="eastAsia" w:ascii="宋体" w:hAnsi="宋体" w:cs="Times New Roman"/>
          <w:sz w:val="28"/>
          <w:szCs w:val="28"/>
          <w:highlight w:val="none"/>
        </w:rPr>
        <w:t>书面</w:t>
      </w:r>
      <w:r>
        <w:rPr>
          <w:rFonts w:ascii="宋体" w:hAnsi="宋体" w:cs="Times New Roman"/>
          <w:sz w:val="28"/>
          <w:szCs w:val="28"/>
          <w:highlight w:val="none"/>
        </w:rPr>
        <w:t>细节报告，详细说明发生该事件的情节和对工期的影响程度，并修订进度计划和编制赶工措施报告报送甲方审批。</w:t>
      </w:r>
    </w:p>
    <w:p w14:paraId="1D3846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若事件的持续时间较长或事件影响工期较长，当乙方采取了赶工措施而无法实现工程按期竣工时，除应按上述第(1)项规定的程序办理外，乙方应在事件结束后的7天内，提交一份</w:t>
      </w:r>
      <w:r>
        <w:rPr>
          <w:rFonts w:hint="eastAsia" w:ascii="宋体" w:hAnsi="宋体" w:cs="Times New Roman"/>
          <w:sz w:val="28"/>
          <w:szCs w:val="28"/>
          <w:highlight w:val="none"/>
        </w:rPr>
        <w:t>书面</w:t>
      </w:r>
      <w:r>
        <w:rPr>
          <w:rFonts w:ascii="宋体" w:hAnsi="宋体" w:cs="Times New Roman"/>
          <w:sz w:val="28"/>
          <w:szCs w:val="28"/>
          <w:highlight w:val="none"/>
        </w:rPr>
        <w:t>补充细节报告，详细说明要求延长工期的理由，并修订进度计划。此时甲方应按以下第(3)项规定的程序批准给予乙方延长工期的合理天数。</w:t>
      </w:r>
    </w:p>
    <w:p w14:paraId="2A01BE59">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(3) 甲方应及时调查核实上述第(1)和(2)项中乙方提交的细节报告和补充细节报告，并在审批修订进度计划的同时，</w:t>
      </w:r>
      <w:r>
        <w:rPr>
          <w:rFonts w:hint="eastAsia" w:ascii="宋体" w:hAnsi="宋体" w:cs="Times New Roman"/>
          <w:sz w:val="28"/>
          <w:szCs w:val="28"/>
          <w:highlight w:val="none"/>
        </w:rPr>
        <w:t>甲方可听取乙方意见，甲方最终</w:t>
      </w:r>
      <w:r>
        <w:rPr>
          <w:rFonts w:ascii="宋体" w:hAnsi="宋体" w:cs="Times New Roman"/>
          <w:sz w:val="28"/>
          <w:szCs w:val="28"/>
          <w:highlight w:val="none"/>
        </w:rPr>
        <w:t>确定延长工期的合理天数和补偿费用的合理额度，并通知乙方。</w:t>
      </w:r>
      <w:r>
        <w:rPr>
          <w:rFonts w:hint="eastAsia" w:ascii="宋体" w:hAnsi="宋体" w:cs="Times New Roman"/>
          <w:sz w:val="28"/>
          <w:szCs w:val="28"/>
          <w:highlight w:val="none"/>
          <w:lang w:val="en-US" w:eastAsia="zh-CN"/>
        </w:rPr>
        <w:t>如果甲方认为不应当给予延长工期和补偿费用的，乙方也予以同意不持异议。</w:t>
      </w:r>
    </w:p>
    <w:p w14:paraId="7087F1A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 乙方的工期延误</w:t>
      </w:r>
    </w:p>
    <w:p w14:paraId="18DB4A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由于乙方原因，未能按合同</w:t>
      </w:r>
      <w:r>
        <w:rPr>
          <w:rFonts w:hint="eastAsia" w:ascii="宋体" w:hAnsi="宋体" w:cs="Times New Roman"/>
          <w:sz w:val="28"/>
          <w:szCs w:val="28"/>
          <w:highlight w:val="none"/>
          <w:lang w:val="en-US" w:eastAsia="zh-CN"/>
        </w:rPr>
        <w:t>工期</w:t>
      </w:r>
      <w:r>
        <w:rPr>
          <w:rFonts w:ascii="宋体" w:hAnsi="宋体" w:cs="Times New Roman"/>
          <w:sz w:val="28"/>
          <w:szCs w:val="28"/>
          <w:highlight w:val="none"/>
        </w:rPr>
        <w:t>完成工作，乙方应按规定采取赶工措施赶上进度。若采取赶工措施后仍未能按合同规定的竣工日期竣工，乙方除自行承担采取赶工措施所增加的费用外，还应支付逾期竣工违约金（逾期竣工违约金按5.2.2.1计算）。同时不免除乙方完成工程及修补缺陷的义务。</w:t>
      </w:r>
    </w:p>
    <w:p w14:paraId="024529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 乙方工期延误的处理</w:t>
      </w:r>
    </w:p>
    <w:p w14:paraId="40FA6E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5.2.2.1.1 总工期延误，违约金每天按合同暂定总金额的</w:t>
      </w:r>
      <w:r>
        <w:rPr>
          <w:rFonts w:hint="eastAsia" w:ascii="宋体" w:hAnsi="宋体" w:cs="Times New Roman"/>
          <w:sz w:val="28"/>
          <w:szCs w:val="28"/>
          <w:highlight w:val="none"/>
        </w:rPr>
        <w:t>1</w:t>
      </w:r>
      <w:r>
        <w:rPr>
          <w:rFonts w:ascii="宋体" w:hAnsi="宋体" w:cs="Times New Roman"/>
          <w:sz w:val="28"/>
          <w:szCs w:val="28"/>
          <w:highlight w:val="none"/>
        </w:rPr>
        <w:t>‰计算。</w:t>
      </w:r>
    </w:p>
    <w:p w14:paraId="7AF3FF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5.2.2.1.2 中间工期延误，施工过程中，若乙方未按经甲方批准的施工进度计划（含非乙方原因调整后的计划）完成施工任务，造成中期进度滞后的，进度滞后10天内</w:t>
      </w:r>
      <w:r>
        <w:rPr>
          <w:rFonts w:hint="eastAsia" w:ascii="宋体" w:hAnsi="宋体" w:cs="Times New Roman"/>
          <w:sz w:val="28"/>
          <w:szCs w:val="28"/>
          <w:highlight w:val="none"/>
        </w:rPr>
        <w:t>（包含10天）</w:t>
      </w:r>
      <w:r>
        <w:rPr>
          <w:rFonts w:ascii="宋体" w:hAnsi="宋体" w:cs="Times New Roman"/>
          <w:sz w:val="28"/>
          <w:szCs w:val="28"/>
          <w:highlight w:val="none"/>
        </w:rPr>
        <w:t>，甲方将按每滞后一天向乙方扣减2000元违约金；进度滞后超过10天，甲方将按每滞后一天向乙方扣减4000元违约金，进度滞后超过20天，甲方有权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0%的违约金，且乙方应退还</w:t>
      </w:r>
      <w:r>
        <w:rPr>
          <w:rFonts w:hint="eastAsia" w:ascii="宋体" w:hAnsi="宋体" w:cs="Times New Roman"/>
          <w:sz w:val="28"/>
          <w:szCs w:val="28"/>
          <w:highlight w:val="none"/>
        </w:rPr>
        <w:t>扣除乙方实际完成工作对应的合同价款，以及乙方已提供的材料、工程设备、施工设备和临时工程等的价值后甲方支付费用的剩余价款</w:t>
      </w:r>
      <w:r>
        <w:rPr>
          <w:rFonts w:hint="eastAsia" w:ascii="宋体" w:hAnsi="宋体" w:cs="Times New Roman"/>
          <w:sz w:val="28"/>
          <w:szCs w:val="28"/>
          <w:highlight w:val="none"/>
          <w:lang w:eastAsia="zh-CN"/>
        </w:rPr>
        <w:t>。</w:t>
      </w:r>
      <w:r>
        <w:rPr>
          <w:rFonts w:ascii="宋体" w:hAnsi="宋体" w:cs="Times New Roman"/>
          <w:sz w:val="28"/>
          <w:szCs w:val="28"/>
          <w:highlight w:val="none"/>
        </w:rPr>
        <w:t>前述违约金不足以弥补甲方损失的，乙方应另行赔偿损失。</w:t>
      </w:r>
    </w:p>
    <w:p w14:paraId="1ABD1F12">
      <w:pPr>
        <w:spacing w:line="600" w:lineRule="exact"/>
        <w:ind w:firstLine="560" w:firstLineChars="200"/>
        <w:rPr>
          <w:highlight w:val="none"/>
        </w:rPr>
      </w:pPr>
      <w:r>
        <w:rPr>
          <w:rFonts w:hint="eastAsia"/>
          <w:sz w:val="28"/>
          <w:szCs w:val="28"/>
          <w:highlight w:val="none"/>
        </w:rPr>
        <w:t>5.2.2.1.3 在合同工期届满前，乙方明确表示或以自己的行为表明不能按时完工，甲方有权解除合同，并在甲方要求的时间内完成清场，乙方应当向甲方支付合同暂定总金额</w:t>
      </w:r>
      <w:r>
        <w:rPr>
          <w:rFonts w:hint="eastAsia"/>
          <w:sz w:val="28"/>
          <w:szCs w:val="28"/>
          <w:highlight w:val="none"/>
          <w:lang w:val="en-US" w:eastAsia="zh-CN"/>
        </w:rPr>
        <w:t>3</w:t>
      </w:r>
      <w:r>
        <w:rPr>
          <w:rFonts w:hint="eastAsia"/>
          <w:sz w:val="28"/>
          <w:szCs w:val="28"/>
          <w:highlight w:val="none"/>
        </w:rPr>
        <w:t>0%的违约金，并承担因清场产生的所有费用，前述违约金不足以弥补甲方损失的，乙方应另行赔偿损失。</w:t>
      </w:r>
    </w:p>
    <w:p w14:paraId="1F43B1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5.3 异常恶劣的气候条件</w:t>
      </w:r>
    </w:p>
    <w:p w14:paraId="6853AF2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由于出现异常恶劣的气候条件导致工期延误的，乙方有权要求甲方延长工期，是否延迟以及工期延长时限由甲方据实确定。</w:t>
      </w:r>
    </w:p>
    <w:p w14:paraId="1EEE49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 暂停施工</w:t>
      </w:r>
    </w:p>
    <w:p w14:paraId="19B5F1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5.4.1 乙方暂停施工的责任</w:t>
      </w:r>
    </w:p>
    <w:p w14:paraId="22F9C3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属于下列任何一种情况引起的暂停施工，乙方不能提出增加费用和延长工期的要求。</w:t>
      </w:r>
    </w:p>
    <w:p w14:paraId="59EDF7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（1）合同中另有规定的。</w:t>
      </w:r>
    </w:p>
    <w:p w14:paraId="46A2A6F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（2）由于乙方违约引起的暂停施工。</w:t>
      </w:r>
    </w:p>
    <w:p w14:paraId="30BA2C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（3）为工程的合理施工和保证安全</w:t>
      </w:r>
      <w:r>
        <w:rPr>
          <w:rFonts w:hint="eastAsia" w:ascii="宋体" w:hAnsi="宋体" w:cs="Times New Roman"/>
          <w:sz w:val="28"/>
          <w:szCs w:val="28"/>
          <w:highlight w:val="none"/>
        </w:rPr>
        <w:t>所必需的</w:t>
      </w:r>
      <w:r>
        <w:rPr>
          <w:rFonts w:ascii="宋体" w:hAnsi="宋体" w:cs="Times New Roman"/>
          <w:sz w:val="28"/>
          <w:szCs w:val="28"/>
          <w:highlight w:val="none"/>
        </w:rPr>
        <w:t>暂停施工。</w:t>
      </w:r>
    </w:p>
    <w:p w14:paraId="2E18D4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（4）未得到甲方许可的乙方擅自停工。</w:t>
      </w:r>
    </w:p>
    <w:p w14:paraId="0AA1BE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（5）其它由于乙方原因引起的暂停施工。</w:t>
      </w:r>
    </w:p>
    <w:p w14:paraId="4200814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 xml:space="preserve"> 甲方的暂停施工指示</w:t>
      </w:r>
    </w:p>
    <w:p w14:paraId="205DD573">
      <w:pPr>
        <w:pStyle w:val="7"/>
        <w:ind w:firstLine="420"/>
        <w:rPr>
          <w:rFonts w:ascii="宋体" w:hAnsi="宋体" w:cs="Times New Roman"/>
          <w:sz w:val="24"/>
          <w:szCs w:val="24"/>
          <w:highlight w:val="none"/>
        </w:rPr>
      </w:pPr>
      <w:r>
        <w:rPr>
          <w:rFonts w:ascii="宋体" w:hAnsi="宋体" w:cs="Times New Roman"/>
          <w:sz w:val="28"/>
          <w:szCs w:val="28"/>
          <w:highlight w:val="none"/>
        </w:rPr>
        <w:t>(1) 甲方认为有必要时，可向乙方发布暂停全部或部分工程施工的指示，乙方应按指示的要求立即暂停施工。不论由于何种原因引起的暂停施工，乙方应在暂停施工期间负责妥善保护工程和提供安全保障</w:t>
      </w:r>
      <w:r>
        <w:rPr>
          <w:rFonts w:hint="eastAsia" w:ascii="宋体" w:hAnsi="宋体" w:cs="Times New Roman"/>
          <w:sz w:val="28"/>
          <w:szCs w:val="28"/>
          <w:highlight w:val="none"/>
          <w:lang w:eastAsia="zh-CN"/>
        </w:rPr>
        <w:t>。</w:t>
      </w:r>
      <w:r>
        <w:rPr>
          <w:rFonts w:ascii="宋体" w:hAnsi="宋体" w:cs="Times New Roman"/>
          <w:sz w:val="28"/>
          <w:szCs w:val="28"/>
          <w:highlight w:val="none"/>
        </w:rPr>
        <w:t>乙方有权向甲方申请延长工期</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相关费用由甲乙双方协商解决</w:t>
      </w:r>
      <w:r>
        <w:rPr>
          <w:rFonts w:hint="default" w:ascii="宋体" w:hAnsi="宋体" w:eastAsia="宋体"/>
          <w:sz w:val="28"/>
          <w:szCs w:val="28"/>
          <w:highlight w:val="none"/>
        </w:rPr>
        <w:t>。</w:t>
      </w:r>
    </w:p>
    <w:p w14:paraId="5380DD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由于甲方的责任发生暂停施工的情况时，若甲方未及时下达暂停施工指示，乙方可向其提出暂停施工的书面请求，甲方应在接到请求后的48小时内予以答复</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逾期未发出指示，视为同意乙方暂停施工</w:t>
      </w:r>
      <w:r>
        <w:rPr>
          <w:rFonts w:ascii="宋体" w:hAnsi="宋体" w:cs="Times New Roman"/>
          <w:sz w:val="28"/>
          <w:szCs w:val="28"/>
          <w:highlight w:val="none"/>
        </w:rPr>
        <w:t>。</w:t>
      </w:r>
    </w:p>
    <w:p w14:paraId="7ED454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暂停施工后的复工</w:t>
      </w:r>
    </w:p>
    <w:p w14:paraId="23384F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暂停施工后，甲方应与乙方协商采取有效措施积极消除停工因素的影响。当工程具备复工条件时，甲方应立即向乙方发出复工通知，乙方收到复工通知后，应在甲方指定的期限内复工。若乙方无故拖延和拒绝复工，由此增加的费用和工期延误责任由乙方承担。</w:t>
      </w:r>
    </w:p>
    <w:p w14:paraId="0F1BDB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5.4.</w:t>
      </w:r>
      <w:r>
        <w:rPr>
          <w:rFonts w:hint="eastAsia" w:ascii="宋体" w:hAnsi="宋体" w:cs="Times New Roman"/>
          <w:sz w:val="28"/>
          <w:szCs w:val="28"/>
          <w:highlight w:val="none"/>
          <w:lang w:val="en-US" w:eastAsia="zh-CN"/>
        </w:rPr>
        <w:t>4</w:t>
      </w:r>
      <w:r>
        <w:rPr>
          <w:rFonts w:ascii="宋体" w:hAnsi="宋体" w:cs="Times New Roman"/>
          <w:sz w:val="28"/>
          <w:szCs w:val="28"/>
          <w:highlight w:val="none"/>
        </w:rPr>
        <w:t xml:space="preserve"> 暂停施工持续28天以上</w:t>
      </w:r>
    </w:p>
    <w:p w14:paraId="03AF18B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w:t>
      </w:r>
      <w:r>
        <w:rPr>
          <w:rFonts w:ascii="宋体" w:hAnsi="宋体" w:cs="Times New Roman"/>
          <w:sz w:val="28"/>
          <w:szCs w:val="28"/>
          <w:highlight w:val="none"/>
        </w:rPr>
        <w:t xml:space="preserve"> 若甲方在下达暂停施工指示后28天内仍未给予乙方复工通知，乙方可向甲方提交书面通知，请求甲方在收到书面通知后28天内准许已暂停施工的工程或其中一部分工程继续施工。</w:t>
      </w:r>
    </w:p>
    <w:p w14:paraId="1E4DFE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若发生由乙方责任引起的暂停施工时，乙方在收到甲方</w:t>
      </w:r>
      <w:r>
        <w:rPr>
          <w:rFonts w:hint="eastAsia" w:ascii="宋体" w:hAnsi="宋体" w:cs="Times New Roman"/>
          <w:sz w:val="28"/>
          <w:szCs w:val="28"/>
          <w:highlight w:val="none"/>
        </w:rPr>
        <w:t>复工</w:t>
      </w:r>
      <w:r>
        <w:rPr>
          <w:rFonts w:ascii="宋体" w:hAnsi="宋体" w:cs="Times New Roman"/>
          <w:sz w:val="28"/>
          <w:szCs w:val="28"/>
          <w:highlight w:val="none"/>
        </w:rPr>
        <w:t>指示后8天内不积极采取措施复工的，视为乙方违约，可按第17.1条的规定办理，且工期不顺延。</w:t>
      </w:r>
    </w:p>
    <w:p w14:paraId="64C69C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合同价款与结算</w:t>
      </w:r>
    </w:p>
    <w:p w14:paraId="483B44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6.1 本工程</w:t>
      </w:r>
      <w:r>
        <w:rPr>
          <w:rFonts w:hint="eastAsia" w:ascii="宋体" w:hAnsi="宋体" w:cs="Times New Roman"/>
          <w:sz w:val="28"/>
          <w:szCs w:val="28"/>
          <w:highlight w:val="none"/>
        </w:rPr>
        <w:t>合同</w:t>
      </w:r>
      <w:r>
        <w:rPr>
          <w:rFonts w:ascii="宋体" w:hAnsi="宋体" w:cs="Times New Roman"/>
          <w:sz w:val="28"/>
          <w:szCs w:val="28"/>
          <w:highlight w:val="none"/>
        </w:rPr>
        <w:t xml:space="preserve">价款按6.1.1确定，每次付款前，乙方应提前 </w:t>
      </w:r>
    </w:p>
    <w:p w14:paraId="2D1870C7">
      <w:pPr>
        <w:spacing w:line="600" w:lineRule="exact"/>
        <w:rPr>
          <w:rFonts w:ascii="宋体" w:hAnsi="宋体" w:cs="Times New Roman"/>
          <w:sz w:val="28"/>
          <w:szCs w:val="28"/>
          <w:highlight w:val="none"/>
        </w:rPr>
      </w:pP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7</w:t>
      </w:r>
      <w:r>
        <w:rPr>
          <w:rFonts w:ascii="宋体" w:hAnsi="宋体" w:cs="Times New Roman"/>
          <w:sz w:val="28"/>
          <w:szCs w:val="28"/>
          <w:highlight w:val="none"/>
          <w:u w:val="single"/>
        </w:rPr>
        <w:t xml:space="preserve"> </w:t>
      </w:r>
      <w:r>
        <w:rPr>
          <w:rFonts w:ascii="宋体" w:hAnsi="宋体" w:cs="Times New Roman"/>
          <w:sz w:val="28"/>
          <w:szCs w:val="28"/>
          <w:highlight w:val="none"/>
        </w:rPr>
        <w:t>个工作日提供</w:t>
      </w:r>
      <w:r>
        <w:rPr>
          <w:rFonts w:hint="eastAsia" w:ascii="宋体" w:hAnsi="宋体" w:cs="Times New Roman"/>
          <w:sz w:val="28"/>
          <w:szCs w:val="28"/>
          <w:highlight w:val="none"/>
        </w:rPr>
        <w:t>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增值税专用发票</w:t>
      </w:r>
      <w:r>
        <w:rPr>
          <w:rFonts w:hint="eastAsia" w:ascii="宋体" w:hAnsi="宋体" w:cs="Times New Roman"/>
          <w:sz w:val="28"/>
          <w:szCs w:val="28"/>
          <w:highlight w:val="none"/>
        </w:rPr>
        <w:t>（预付款可仅提供收据）</w:t>
      </w:r>
      <w:r>
        <w:rPr>
          <w:rFonts w:ascii="宋体" w:hAnsi="宋体" w:cs="Times New Roman"/>
          <w:sz w:val="28"/>
          <w:szCs w:val="28"/>
          <w:highlight w:val="none"/>
        </w:rPr>
        <w:t>，税率</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%，否则甲方有权拒绝付款，且不视为甲方违约，但乙方不得因此怠于履行本合同项下义务。</w:t>
      </w:r>
    </w:p>
    <w:p w14:paraId="4D63DB7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6.1.1 </w:t>
      </w:r>
      <w:r>
        <w:rPr>
          <w:rFonts w:hint="eastAsia" w:ascii="宋体" w:hAnsi="宋体" w:cs="Times New Roman"/>
          <w:sz w:val="28"/>
          <w:szCs w:val="28"/>
          <w:highlight w:val="none"/>
        </w:rPr>
        <w:t>本工程暂定合同价款为招标控制价（施工图预算）</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元基础上的中选取费比例</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%，暂定合同金额为</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元，含增值税</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%。最终合同结算价款在竣工图纸及招标控制价（施工图预算）基础上，按照合同6.3条约定办理。</w:t>
      </w:r>
    </w:p>
    <w:p w14:paraId="0B961B3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合同价款包括但不限于完成本次工程范围内的所有土建部分、设备</w:t>
      </w:r>
      <w:r>
        <w:rPr>
          <w:rFonts w:hint="eastAsia" w:ascii="宋体" w:hAnsi="宋体" w:cs="Times New Roman"/>
          <w:sz w:val="28"/>
          <w:szCs w:val="28"/>
          <w:highlight w:val="none"/>
        </w:rPr>
        <w:t>采购及</w:t>
      </w:r>
      <w:r>
        <w:rPr>
          <w:rFonts w:ascii="宋体" w:hAnsi="宋体" w:cs="Times New Roman"/>
          <w:sz w:val="28"/>
          <w:szCs w:val="28"/>
          <w:highlight w:val="none"/>
        </w:rPr>
        <w:t>安装、电力施工检测、验收、图纸报审等所需的全部费用，即本工程范围内的所有土建施工及设备安装、电力施工及检测所发生的人工费、设备费用、辅助材料费、机械费、包装运输费、互控开关费、箱变和电缆试验及调测费、继保执行、定制执行、成品保护费、检验调试费、验收费、样品费、措施费、采保费、规费、</w:t>
      </w:r>
      <w:r>
        <w:rPr>
          <w:rFonts w:hint="eastAsia" w:ascii="宋体" w:hAnsi="宋体" w:cs="Times New Roman"/>
          <w:sz w:val="28"/>
          <w:szCs w:val="28"/>
          <w:highlight w:val="none"/>
        </w:rPr>
        <w:t>安全生产费用、</w:t>
      </w:r>
      <w:r>
        <w:rPr>
          <w:rFonts w:ascii="宋体" w:hAnsi="宋体" w:cs="Times New Roman"/>
          <w:sz w:val="28"/>
          <w:szCs w:val="28"/>
          <w:highlight w:val="none"/>
        </w:rPr>
        <w:t>管理费</w:t>
      </w:r>
      <w:r>
        <w:rPr>
          <w:rFonts w:hint="eastAsia" w:ascii="宋体" w:hAnsi="宋体" w:cs="Times New Roman"/>
          <w:sz w:val="28"/>
          <w:szCs w:val="28"/>
          <w:highlight w:val="none"/>
        </w:rPr>
        <w:t>、保险费</w:t>
      </w:r>
      <w:r>
        <w:rPr>
          <w:rFonts w:ascii="宋体" w:hAnsi="宋体" w:cs="Times New Roman"/>
          <w:sz w:val="28"/>
          <w:szCs w:val="28"/>
          <w:highlight w:val="none"/>
        </w:rPr>
        <w:t>和利润、税金、图纸报审、深化设计</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通电措施费、土地永久占地赔偿费、线路青苗赔偿费</w:t>
      </w:r>
      <w:r>
        <w:rPr>
          <w:rFonts w:hint="eastAsia" w:ascii="宋体" w:hAnsi="宋体" w:cs="Times New Roman"/>
          <w:sz w:val="28"/>
          <w:szCs w:val="28"/>
          <w:highlight w:val="none"/>
        </w:rPr>
        <w:t>等一切为项目投运所产生的与第三方沟通协调的费用</w:t>
      </w:r>
      <w:r>
        <w:rPr>
          <w:rFonts w:ascii="宋体" w:hAnsi="宋体" w:cs="Times New Roman"/>
          <w:sz w:val="28"/>
          <w:szCs w:val="28"/>
          <w:highlight w:val="none"/>
        </w:rPr>
        <w:t>，并考虑了图纸报审造成造价增加、人工、材料涨价等风险因素和另行更换、修理设备及材料的费用</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本合同另有约定的除外</w:t>
      </w:r>
      <w:r>
        <w:rPr>
          <w:rFonts w:ascii="宋体" w:hAnsi="宋体" w:cs="Times New Roman"/>
          <w:sz w:val="28"/>
          <w:szCs w:val="28"/>
          <w:highlight w:val="none"/>
        </w:rPr>
        <w:t>。</w:t>
      </w:r>
    </w:p>
    <w:p w14:paraId="6EAFDAB0">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进度款的</w:t>
      </w:r>
      <w:r>
        <w:rPr>
          <w:rFonts w:hint="eastAsia" w:ascii="宋体" w:hAnsi="宋体" w:cs="Times New Roman"/>
          <w:sz w:val="28"/>
          <w:szCs w:val="28"/>
          <w:highlight w:val="none"/>
        </w:rPr>
        <w:t>计量与</w:t>
      </w:r>
      <w:r>
        <w:rPr>
          <w:rFonts w:ascii="宋体" w:hAnsi="宋体" w:cs="Times New Roman"/>
          <w:sz w:val="28"/>
          <w:szCs w:val="28"/>
          <w:highlight w:val="none"/>
        </w:rPr>
        <w:t>支付按</w:t>
      </w:r>
      <w:r>
        <w:rPr>
          <w:rFonts w:hint="eastAsia" w:ascii="宋体" w:hAnsi="宋体" w:cs="Times New Roman"/>
          <w:sz w:val="28"/>
          <w:szCs w:val="28"/>
          <w:highlight w:val="none"/>
        </w:rPr>
        <w:t>6.3与</w:t>
      </w:r>
      <w:r>
        <w:rPr>
          <w:rFonts w:ascii="宋体" w:hAnsi="宋体" w:cs="Times New Roman"/>
          <w:sz w:val="28"/>
          <w:szCs w:val="28"/>
          <w:highlight w:val="none"/>
        </w:rPr>
        <w:t>6.4条执行。合同最终结算价款以甲方委托的</w:t>
      </w:r>
      <w:r>
        <w:rPr>
          <w:rFonts w:hint="eastAsia" w:ascii="宋体" w:hAnsi="宋体" w:cs="Times New Roman"/>
          <w:sz w:val="28"/>
          <w:szCs w:val="28"/>
          <w:highlight w:val="none"/>
        </w:rPr>
        <w:t>工程造价咨询</w:t>
      </w:r>
      <w:r>
        <w:rPr>
          <w:rFonts w:ascii="宋体" w:hAnsi="宋体" w:cs="Times New Roman"/>
          <w:sz w:val="28"/>
          <w:szCs w:val="28"/>
          <w:highlight w:val="none"/>
        </w:rPr>
        <w:t>单位审定</w:t>
      </w:r>
      <w:r>
        <w:rPr>
          <w:rFonts w:hint="eastAsia" w:ascii="宋体" w:hAnsi="宋体" w:cs="Times New Roman"/>
          <w:sz w:val="28"/>
          <w:szCs w:val="28"/>
          <w:highlight w:val="none"/>
        </w:rPr>
        <w:t>的</w:t>
      </w:r>
      <w:r>
        <w:rPr>
          <w:rFonts w:ascii="宋体" w:hAnsi="宋体" w:cs="Times New Roman"/>
          <w:sz w:val="28"/>
          <w:szCs w:val="28"/>
          <w:highlight w:val="none"/>
        </w:rPr>
        <w:t>工程量及结算金额办理竣工结算</w:t>
      </w:r>
      <w:r>
        <w:rPr>
          <w:rFonts w:hint="eastAsia" w:ascii="宋体" w:hAnsi="宋体" w:cs="Times New Roman"/>
          <w:sz w:val="28"/>
          <w:szCs w:val="28"/>
          <w:highlight w:val="none"/>
        </w:rPr>
        <w:t>。</w:t>
      </w:r>
    </w:p>
    <w:p w14:paraId="377B070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6.1.2 因乙方原因造成返工、工程量虚增的，产生费用由乙方全额承担，</w:t>
      </w:r>
      <w:r>
        <w:rPr>
          <w:rFonts w:hint="eastAsia" w:ascii="宋体" w:hAnsi="宋体" w:cs="Times New Roman"/>
          <w:sz w:val="28"/>
          <w:szCs w:val="28"/>
          <w:highlight w:val="none"/>
        </w:rPr>
        <w:t>如果因此影响项目进度，导致项目未能按期竣工验收的，</w:t>
      </w:r>
      <w:r>
        <w:rPr>
          <w:rFonts w:hint="eastAsia" w:ascii="宋体" w:hAnsi="宋体" w:cs="Times New Roman"/>
          <w:sz w:val="28"/>
          <w:szCs w:val="28"/>
          <w:highlight w:val="none"/>
          <w:lang w:val="en-US" w:eastAsia="zh-CN"/>
        </w:rPr>
        <w:t>按</w:t>
      </w:r>
      <w:r>
        <w:rPr>
          <w:rFonts w:ascii="宋体" w:hAnsi="宋体" w:cs="Times New Roman"/>
          <w:sz w:val="28"/>
          <w:szCs w:val="28"/>
          <w:highlight w:val="none"/>
        </w:rPr>
        <w:t>5.2.2.1 乙方工期延误的处理</w:t>
      </w:r>
      <w:r>
        <w:rPr>
          <w:rFonts w:hint="eastAsia"/>
          <w:highlight w:val="none"/>
          <w:lang w:eastAsia="zh-CN"/>
        </w:rPr>
        <w:t>。</w:t>
      </w:r>
    </w:p>
    <w:p w14:paraId="6620EA6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6.1.3甲方</w:t>
      </w:r>
      <w:r>
        <w:rPr>
          <w:rFonts w:ascii="宋体" w:hAnsi="宋体" w:cs="Times New Roman"/>
          <w:sz w:val="28"/>
          <w:szCs w:val="28"/>
          <w:highlight w:val="none"/>
        </w:rPr>
        <w:t>开票信息及</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2FD1B2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（1）甲方开票信息如下</w:t>
      </w:r>
      <w:r>
        <w:rPr>
          <w:rFonts w:hint="eastAsia" w:ascii="宋体" w:hAnsi="宋体" w:cs="Times New Roman"/>
          <w:sz w:val="28"/>
          <w:szCs w:val="28"/>
          <w:highlight w:val="none"/>
        </w:rPr>
        <w:t>：</w:t>
      </w:r>
    </w:p>
    <w:p w14:paraId="33C833B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单位名称：</w:t>
      </w:r>
      <w:r>
        <w:rPr>
          <w:rFonts w:hint="eastAsia" w:ascii="宋体" w:hAnsi="宋体" w:cs="Times New Roman"/>
          <w:sz w:val="28"/>
          <w:szCs w:val="28"/>
          <w:highlight w:val="none"/>
        </w:rPr>
        <w:t>四川蜀道新能源科技发展有限公司</w:t>
      </w:r>
      <w:r>
        <w:rPr>
          <w:rFonts w:ascii="宋体" w:hAnsi="宋体" w:cs="Times New Roman"/>
          <w:sz w:val="28"/>
          <w:szCs w:val="28"/>
          <w:highlight w:val="none"/>
        </w:rPr>
        <w:t xml:space="preserve"> </w:t>
      </w:r>
    </w:p>
    <w:p w14:paraId="1388D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税号：</w:t>
      </w:r>
      <w:r>
        <w:rPr>
          <w:rFonts w:hint="eastAsia" w:ascii="宋体" w:hAnsi="宋体" w:cs="Times New Roman"/>
          <w:sz w:val="28"/>
          <w:szCs w:val="28"/>
          <w:highlight w:val="none"/>
        </w:rPr>
        <w:t>91510100MA6ARPET9E</w:t>
      </w:r>
    </w:p>
    <w:p w14:paraId="322461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单位地址：</w:t>
      </w:r>
      <w:r>
        <w:rPr>
          <w:rFonts w:hint="eastAsia" w:ascii="宋体" w:hAnsi="宋体" w:cs="Times New Roman"/>
          <w:sz w:val="28"/>
          <w:szCs w:val="28"/>
          <w:highlight w:val="none"/>
        </w:rPr>
        <w:t>成都高新区创业路1号1栋1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楼1</w:t>
      </w:r>
      <w:r>
        <w:rPr>
          <w:rFonts w:hint="eastAsia" w:ascii="宋体" w:hAnsi="宋体" w:cs="Times New Roman"/>
          <w:sz w:val="28"/>
          <w:szCs w:val="28"/>
          <w:highlight w:val="none"/>
          <w:lang w:val="en-US" w:eastAsia="zh-CN"/>
        </w:rPr>
        <w:t>4</w:t>
      </w:r>
      <w:r>
        <w:rPr>
          <w:rFonts w:hint="eastAsia" w:ascii="宋体" w:hAnsi="宋体" w:cs="Times New Roman"/>
          <w:sz w:val="28"/>
          <w:szCs w:val="28"/>
          <w:highlight w:val="none"/>
        </w:rPr>
        <w:t>01</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1402</w:t>
      </w:r>
      <w:r>
        <w:rPr>
          <w:rFonts w:hint="eastAsia" w:ascii="宋体" w:hAnsi="宋体" w:cs="Times New Roman"/>
          <w:sz w:val="28"/>
          <w:szCs w:val="28"/>
          <w:highlight w:val="none"/>
        </w:rPr>
        <w:t>号</w:t>
      </w:r>
    </w:p>
    <w:p w14:paraId="160569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电话：028-6876 1709</w:t>
      </w:r>
    </w:p>
    <w:p w14:paraId="08F6A7B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开户银行：中国建设银行成都第三支行 </w:t>
      </w:r>
    </w:p>
    <w:p w14:paraId="459472C5">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银行</w:t>
      </w:r>
      <w:r>
        <w:rPr>
          <w:rFonts w:ascii="宋体" w:hAnsi="宋体" w:cs="Times New Roman"/>
          <w:sz w:val="28"/>
          <w:szCs w:val="28"/>
          <w:highlight w:val="none"/>
        </w:rPr>
        <w:t xml:space="preserve">账号：5105 0143 6308 0000 4340 </w:t>
      </w:r>
    </w:p>
    <w:p w14:paraId="63E21F4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w:t>
      </w:r>
      <w:r>
        <w:rPr>
          <w:rFonts w:hint="eastAsia" w:ascii="宋体" w:hAnsi="宋体" w:cs="Times New Roman"/>
          <w:sz w:val="28"/>
          <w:szCs w:val="28"/>
          <w:highlight w:val="none"/>
        </w:rPr>
        <w:t>乙方</w:t>
      </w:r>
      <w:r>
        <w:rPr>
          <w:rFonts w:ascii="宋体" w:hAnsi="宋体" w:cs="Times New Roman"/>
          <w:sz w:val="28"/>
          <w:szCs w:val="28"/>
          <w:highlight w:val="none"/>
        </w:rPr>
        <w:t>收款账户信息如下：</w:t>
      </w:r>
    </w:p>
    <w:p w14:paraId="5F3BC0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账户名称：                                          </w:t>
      </w:r>
    </w:p>
    <w:p w14:paraId="41A795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纳税人识别号：                                           </w:t>
      </w:r>
    </w:p>
    <w:p w14:paraId="2818D6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地  址：                                             </w:t>
      </w:r>
    </w:p>
    <w:p w14:paraId="3AFA3C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开户行名称：                                                 </w:t>
      </w:r>
    </w:p>
    <w:p w14:paraId="02B6F766">
      <w:pPr>
        <w:spacing w:line="600" w:lineRule="exact"/>
        <w:ind w:firstLine="560" w:firstLineChars="200"/>
        <w:rPr>
          <w:rFonts w:hint="eastAsia" w:ascii="宋体" w:hAnsi="宋体" w:eastAsia="宋体" w:cs="Times New Roman"/>
          <w:sz w:val="28"/>
          <w:szCs w:val="28"/>
          <w:highlight w:val="none"/>
          <w:lang w:val="en-US" w:eastAsia="zh-CN"/>
        </w:rPr>
      </w:pPr>
      <w:r>
        <w:rPr>
          <w:rFonts w:ascii="宋体" w:hAnsi="宋体" w:cs="Times New Roman"/>
          <w:sz w:val="28"/>
          <w:szCs w:val="28"/>
          <w:highlight w:val="none"/>
        </w:rPr>
        <w:t>开户账号：</w:t>
      </w:r>
    </w:p>
    <w:p w14:paraId="3E9AFAF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 价格调整的因素</w:t>
      </w:r>
    </w:p>
    <w:p w14:paraId="7683B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工程遇到下列情况</w:t>
      </w:r>
      <w:r>
        <w:rPr>
          <w:rFonts w:hint="eastAsia" w:ascii="宋体" w:hAnsi="宋体" w:cs="Times New Roman"/>
          <w:sz w:val="28"/>
          <w:szCs w:val="28"/>
          <w:highlight w:val="none"/>
        </w:rPr>
        <w:t>，</w:t>
      </w:r>
      <w:r>
        <w:rPr>
          <w:rFonts w:ascii="宋体" w:hAnsi="宋体" w:cs="Times New Roman"/>
          <w:sz w:val="28"/>
          <w:szCs w:val="28"/>
          <w:highlight w:val="none"/>
        </w:rPr>
        <w:t>乙方应在</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rPr>
        <w:t>7</w:t>
      </w:r>
      <w:r>
        <w:rPr>
          <w:rFonts w:ascii="宋体" w:hAnsi="宋体" w:cs="Times New Roman"/>
          <w:sz w:val="28"/>
          <w:szCs w:val="28"/>
          <w:highlight w:val="none"/>
          <w:u w:val="single"/>
        </w:rPr>
        <w:t xml:space="preserve"> </w:t>
      </w:r>
      <w:r>
        <w:rPr>
          <w:rFonts w:ascii="宋体" w:hAnsi="宋体" w:cs="Times New Roman"/>
          <w:sz w:val="28"/>
          <w:szCs w:val="28"/>
          <w:highlight w:val="none"/>
        </w:rPr>
        <w:t>日内，将调整原因、金额以书面形式通知甲方，甲方确认调整金额后作为</w:t>
      </w:r>
      <w:r>
        <w:rPr>
          <w:rFonts w:hint="eastAsia" w:ascii="宋体" w:hAnsi="宋体" w:cs="Times New Roman"/>
          <w:sz w:val="28"/>
          <w:szCs w:val="28"/>
          <w:highlight w:val="none"/>
        </w:rPr>
        <w:t>合同价款调整的依据</w:t>
      </w:r>
      <w:r>
        <w:rPr>
          <w:rFonts w:ascii="宋体" w:hAnsi="宋体" w:cs="Times New Roman"/>
          <w:sz w:val="28"/>
          <w:szCs w:val="28"/>
          <w:highlight w:val="none"/>
        </w:rPr>
        <w:t>，若合同价款调整超出工程批复或概（预）算</w:t>
      </w:r>
      <w:r>
        <w:rPr>
          <w:rFonts w:hint="eastAsia" w:ascii="宋体" w:hAnsi="宋体" w:cs="Times New Roman"/>
          <w:sz w:val="28"/>
          <w:szCs w:val="28"/>
          <w:highlight w:val="none"/>
        </w:rPr>
        <w:t>需追加合同价款</w:t>
      </w:r>
      <w:r>
        <w:rPr>
          <w:rFonts w:ascii="宋体" w:hAnsi="宋体" w:cs="Times New Roman"/>
          <w:sz w:val="28"/>
          <w:szCs w:val="28"/>
          <w:highlight w:val="none"/>
        </w:rPr>
        <w:t>，乙方应对超出部分做详细的分析说明，并会同甲方报甲方上级部门批准后方可实施，</w:t>
      </w:r>
      <w:r>
        <w:rPr>
          <w:rFonts w:hint="eastAsia" w:ascii="宋体" w:hAnsi="宋体" w:cs="Times New Roman"/>
          <w:sz w:val="28"/>
          <w:szCs w:val="28"/>
          <w:highlight w:val="none"/>
          <w:lang w:val="en-US" w:eastAsia="zh-CN"/>
        </w:rPr>
        <w:t>未经甲方及甲方上级部门书面批准同意的追加调整，</w:t>
      </w:r>
      <w:r>
        <w:rPr>
          <w:rFonts w:ascii="宋体" w:hAnsi="宋体" w:cs="Times New Roman"/>
          <w:sz w:val="28"/>
          <w:szCs w:val="28"/>
          <w:highlight w:val="none"/>
        </w:rPr>
        <w:t>甲方有权拒绝支付该追加部分的合同价款：</w:t>
      </w:r>
    </w:p>
    <w:p w14:paraId="4EF64B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6.2.1 法律、行政法规和国家有关政策变化影响合同价款；</w:t>
      </w:r>
    </w:p>
    <w:p w14:paraId="0D903F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6.2.2 国务院有关部门、县级以上人民政府建设行政主管部门或其委托工程造价管理部门公布的价格调整（不包含材料价格）；</w:t>
      </w:r>
    </w:p>
    <w:p w14:paraId="42320D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6.2.3 甲方同意的工程量增减或设计变更。</w:t>
      </w:r>
    </w:p>
    <w:p w14:paraId="6A548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w:t>
      </w:r>
      <w:r>
        <w:rPr>
          <w:rFonts w:ascii="宋体" w:hAnsi="宋体" w:cs="Times New Roman"/>
          <w:sz w:val="28"/>
          <w:szCs w:val="28"/>
          <w:highlight w:val="none"/>
        </w:rPr>
        <w:t xml:space="preserve"> 价格调整的依据</w:t>
      </w:r>
    </w:p>
    <w:p w14:paraId="66C47698">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2.4.1</w:t>
      </w:r>
      <w:r>
        <w:rPr>
          <w:rFonts w:ascii="宋体" w:hAnsi="宋体" w:cs="Times New Roman"/>
          <w:sz w:val="28"/>
          <w:szCs w:val="28"/>
          <w:highlight w:val="none"/>
        </w:rPr>
        <w:t xml:space="preserve"> 法律、行政法规及国家政策文件</w:t>
      </w:r>
      <w:r>
        <w:rPr>
          <w:rFonts w:hint="eastAsia" w:ascii="宋体" w:hAnsi="宋体" w:cs="Times New Roman"/>
          <w:sz w:val="28"/>
          <w:szCs w:val="28"/>
          <w:highlight w:val="none"/>
        </w:rPr>
        <w:t>。</w:t>
      </w:r>
    </w:p>
    <w:p w14:paraId="55C7607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 竣工结算原则</w:t>
      </w:r>
    </w:p>
    <w:p w14:paraId="637889F1">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本工程为固定单价合同，</w:t>
      </w:r>
      <w:r>
        <w:rPr>
          <w:rFonts w:hint="eastAsia" w:ascii="宋体" w:hAnsi="宋体" w:cs="Times New Roman"/>
          <w:sz w:val="28"/>
          <w:szCs w:val="28"/>
          <w:highlight w:val="none"/>
        </w:rPr>
        <w:t>工程数量按实结算，计量计价与结算在招标控制价</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基础上按照</w:t>
      </w:r>
      <w:r>
        <w:rPr>
          <w:rFonts w:hint="eastAsia" w:ascii="宋体" w:hAnsi="宋体" w:cs="Times New Roman"/>
          <w:sz w:val="28"/>
          <w:szCs w:val="28"/>
          <w:highlight w:val="none"/>
          <w:lang w:val="en-US" w:eastAsia="zh-CN"/>
        </w:rPr>
        <w:t>《GB50500-2013建设工程工程量清单计价规范》</w:t>
      </w:r>
      <w:r>
        <w:rPr>
          <w:rFonts w:hint="eastAsia" w:ascii="宋体" w:hAnsi="宋体" w:cs="Times New Roman"/>
          <w:sz w:val="28"/>
          <w:szCs w:val="28"/>
          <w:highlight w:val="none"/>
        </w:rPr>
        <w:t>进行，并结合中选取费比例确定结算金额(其中规费以及安全文明施工费不下浮）。</w:t>
      </w:r>
    </w:p>
    <w:p w14:paraId="130A863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竣工结算</w:t>
      </w:r>
      <w:r>
        <w:rPr>
          <w:rFonts w:ascii="宋体" w:hAnsi="宋体" w:cs="Times New Roman"/>
          <w:sz w:val="28"/>
          <w:szCs w:val="28"/>
          <w:highlight w:val="none"/>
        </w:rPr>
        <w:t>原则如下：</w:t>
      </w:r>
    </w:p>
    <w:p w14:paraId="402BFD1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6.3.1 本项目工程量计算规则应按有关国家标准、行业标准的规定执行。乙方应严格按施工图纸施工，在未经甲方书面同意的前提下，乙方未按图纸施工造成实际工程量增减的情况发生时，实际工程量超过《</w:t>
      </w:r>
      <w:r>
        <w:rPr>
          <w:rFonts w:hint="eastAsia" w:ascii="宋体" w:hAnsi="宋体" w:cs="Times New Roman"/>
          <w:sz w:val="28"/>
          <w:szCs w:val="28"/>
          <w:highlight w:val="none"/>
        </w:rPr>
        <w:t>招标控制价清单</w:t>
      </w:r>
      <w:r>
        <w:rPr>
          <w:rFonts w:ascii="宋体" w:hAnsi="宋体" w:cs="Times New Roman"/>
          <w:sz w:val="28"/>
          <w:szCs w:val="28"/>
          <w:highlight w:val="none"/>
        </w:rPr>
        <w:t>》时按《</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执行，实际工程量不足</w:t>
      </w:r>
      <w:r>
        <w:rPr>
          <w:rFonts w:ascii="宋体" w:hAnsi="宋体" w:cs="Times New Roman"/>
          <w:sz w:val="28"/>
          <w:szCs w:val="28"/>
          <w:highlight w:val="none"/>
        </w:rPr>
        <w:t>《</w:t>
      </w:r>
      <w:r>
        <w:rPr>
          <w:rFonts w:hint="eastAsia" w:ascii="宋体" w:hAnsi="宋体" w:cs="Times New Roman"/>
          <w:sz w:val="28"/>
          <w:szCs w:val="28"/>
          <w:highlight w:val="none"/>
        </w:rPr>
        <w:t>招标控制价清单</w:t>
      </w:r>
      <w:r>
        <w:rPr>
          <w:rFonts w:ascii="宋体" w:hAnsi="宋体" w:cs="Times New Roman"/>
          <w:sz w:val="28"/>
          <w:szCs w:val="28"/>
          <w:highlight w:val="none"/>
        </w:rPr>
        <w:t>》</w:t>
      </w:r>
      <w:r>
        <w:rPr>
          <w:rFonts w:hint="eastAsia" w:ascii="宋体" w:hAnsi="宋体" w:cs="Times New Roman"/>
          <w:sz w:val="28"/>
          <w:szCs w:val="28"/>
          <w:highlight w:val="none"/>
        </w:rPr>
        <w:t>时按实际工程量执行</w:t>
      </w:r>
      <w:r>
        <w:rPr>
          <w:rFonts w:ascii="宋体" w:hAnsi="宋体" w:cs="Times New Roman"/>
          <w:sz w:val="28"/>
          <w:szCs w:val="28"/>
          <w:highlight w:val="none"/>
        </w:rPr>
        <w:t>。</w:t>
      </w:r>
    </w:p>
    <w:p w14:paraId="61337E4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 由于甲方所提供的《</w:t>
      </w:r>
      <w:r>
        <w:rPr>
          <w:rFonts w:hint="eastAsia" w:ascii="宋体" w:hAnsi="宋体" w:cs="Times New Roman"/>
          <w:sz w:val="28"/>
          <w:szCs w:val="28"/>
          <w:highlight w:val="none"/>
        </w:rPr>
        <w:t>招标控制价清单</w:t>
      </w:r>
      <w:r>
        <w:rPr>
          <w:rFonts w:ascii="宋体" w:hAnsi="宋体" w:cs="Times New Roman"/>
          <w:sz w:val="28"/>
          <w:szCs w:val="28"/>
          <w:highlight w:val="none"/>
        </w:rPr>
        <w:t>》漏项或设计变更引起的新的工程量清单项目，其结算方式按以下方式计算：</w:t>
      </w:r>
    </w:p>
    <w:p w14:paraId="61795F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6.3.2.1 《</w:t>
      </w:r>
      <w:r>
        <w:rPr>
          <w:rFonts w:hint="eastAsia" w:ascii="宋体" w:hAnsi="宋体" w:cs="Times New Roman"/>
          <w:sz w:val="28"/>
          <w:szCs w:val="28"/>
          <w:highlight w:val="none"/>
        </w:rPr>
        <w:t>招标控制价清单</w:t>
      </w:r>
      <w:r>
        <w:rPr>
          <w:rFonts w:ascii="宋体" w:hAnsi="宋体" w:cs="Times New Roman"/>
          <w:sz w:val="28"/>
          <w:szCs w:val="28"/>
          <w:highlight w:val="none"/>
        </w:rPr>
        <w:t>》中有适用于变更工作的项目时，应采用该项目的单价或合价；</w:t>
      </w:r>
    </w:p>
    <w:p w14:paraId="528786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6.3.2.2 《</w:t>
      </w:r>
      <w:r>
        <w:rPr>
          <w:rFonts w:hint="eastAsia" w:ascii="宋体" w:hAnsi="宋体" w:cs="Times New Roman"/>
          <w:sz w:val="28"/>
          <w:szCs w:val="28"/>
          <w:highlight w:val="none"/>
        </w:rPr>
        <w:t>招标控制价清单</w:t>
      </w:r>
      <w:r>
        <w:rPr>
          <w:rFonts w:ascii="宋体" w:hAnsi="宋体" w:cs="Times New Roman"/>
          <w:sz w:val="28"/>
          <w:szCs w:val="28"/>
          <w:highlight w:val="none"/>
        </w:rPr>
        <w:t>》中只有类似变更工作的项目时，则参照清单该项目的单价作为变更估价的基础，经甲方换算</w:t>
      </w:r>
      <w:r>
        <w:rPr>
          <w:rFonts w:hint="eastAsia" w:ascii="宋体" w:hAnsi="宋体" w:cs="Times New Roman"/>
          <w:sz w:val="28"/>
          <w:szCs w:val="28"/>
          <w:highlight w:val="none"/>
          <w:lang w:val="en-US" w:eastAsia="zh-CN"/>
        </w:rPr>
        <w:t>并经乙方确认</w:t>
      </w:r>
      <w:r>
        <w:rPr>
          <w:rFonts w:ascii="宋体" w:hAnsi="宋体" w:cs="Times New Roman"/>
          <w:sz w:val="28"/>
          <w:szCs w:val="28"/>
          <w:highlight w:val="none"/>
        </w:rPr>
        <w:t>后确定。</w:t>
      </w:r>
    </w:p>
    <w:p w14:paraId="24D638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类似清单项目单价调整方式：可按面积、体积、重量、长度、厚度</w:t>
      </w:r>
      <w:r>
        <w:rPr>
          <w:rFonts w:hint="eastAsia" w:ascii="宋体" w:hAnsi="宋体" w:cs="Times New Roman"/>
          <w:sz w:val="28"/>
          <w:szCs w:val="28"/>
          <w:highlight w:val="none"/>
          <w:lang w:val="en-US" w:eastAsia="zh-CN"/>
        </w:rPr>
        <w:t>等比例关系进行换算</w:t>
      </w:r>
      <w:r>
        <w:rPr>
          <w:rFonts w:ascii="宋体" w:hAnsi="宋体" w:cs="Times New Roman"/>
          <w:sz w:val="28"/>
          <w:szCs w:val="28"/>
          <w:highlight w:val="none"/>
        </w:rPr>
        <w:t>（如</w:t>
      </w:r>
      <w:r>
        <w:rPr>
          <w:rFonts w:hint="eastAsia" w:ascii="宋体" w:hAnsi="宋体" w:cs="Times New Roman"/>
          <w:sz w:val="28"/>
          <w:szCs w:val="28"/>
          <w:highlight w:val="none"/>
        </w:rPr>
        <w:t>标识标牌</w:t>
      </w:r>
      <w:r>
        <w:rPr>
          <w:rFonts w:ascii="宋体" w:hAnsi="宋体" w:cs="Times New Roman"/>
          <w:sz w:val="28"/>
          <w:szCs w:val="28"/>
          <w:highlight w:val="none"/>
        </w:rPr>
        <w:t>规格与清单不同，可按最接近规格换算为面积比例关系折算）；如材料不同仅换算材料价差，不再调整其他费用，除非其严重影响施工工艺和方法。</w:t>
      </w:r>
    </w:p>
    <w:p w14:paraId="241BEC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6.3.2.3 《</w:t>
      </w:r>
      <w:r>
        <w:rPr>
          <w:rFonts w:hint="eastAsia" w:ascii="宋体" w:hAnsi="宋体" w:cs="Times New Roman"/>
          <w:sz w:val="28"/>
          <w:szCs w:val="28"/>
          <w:highlight w:val="none"/>
        </w:rPr>
        <w:t>招标控制价清单</w:t>
      </w:r>
      <w:r>
        <w:rPr>
          <w:rFonts w:ascii="宋体" w:hAnsi="宋体" w:cs="Times New Roman"/>
          <w:sz w:val="28"/>
          <w:szCs w:val="28"/>
          <w:highlight w:val="none"/>
        </w:rPr>
        <w:t>》中无类似项目的单价可供参考的，由</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根据《四川省建设工程工程量清单计价定额》(20</w:t>
      </w:r>
      <w:r>
        <w:rPr>
          <w:rFonts w:hint="eastAsia" w:ascii="宋体" w:hAnsi="宋体" w:cs="Times New Roman"/>
          <w:sz w:val="28"/>
          <w:szCs w:val="28"/>
          <w:highlight w:val="none"/>
        </w:rPr>
        <w:t>20</w:t>
      </w:r>
      <w:r>
        <w:rPr>
          <w:rFonts w:ascii="宋体" w:hAnsi="宋体" w:cs="Times New Roman"/>
          <w:sz w:val="28"/>
          <w:szCs w:val="28"/>
          <w:highlight w:val="none"/>
        </w:rPr>
        <w:t>)计算综合单价（综合单价包括人工费、材料费、机械使用费</w:t>
      </w:r>
      <w:r>
        <w:rPr>
          <w:rFonts w:hint="eastAsia" w:ascii="宋体" w:hAnsi="宋体" w:cs="Times New Roman"/>
          <w:sz w:val="28"/>
          <w:szCs w:val="28"/>
          <w:highlight w:val="none"/>
        </w:rPr>
        <w:t>、综合费</w:t>
      </w:r>
      <w:r>
        <w:rPr>
          <w:rFonts w:ascii="宋体" w:hAnsi="宋体" w:cs="Times New Roman"/>
          <w:sz w:val="28"/>
          <w:szCs w:val="28"/>
          <w:highlight w:val="none"/>
        </w:rPr>
        <w:t>），并报甲方核准，材料价格按甲方招标控制价中的</w:t>
      </w:r>
      <w:r>
        <w:rPr>
          <w:rFonts w:hint="eastAsia" w:ascii="宋体" w:hAnsi="宋体" w:cs="Times New Roman"/>
          <w:sz w:val="28"/>
          <w:szCs w:val="28"/>
          <w:highlight w:val="none"/>
        </w:rPr>
        <w:t>对应</w:t>
      </w:r>
      <w:r>
        <w:rPr>
          <w:rFonts w:ascii="宋体" w:hAnsi="宋体" w:cs="Times New Roman"/>
          <w:sz w:val="28"/>
          <w:szCs w:val="28"/>
          <w:highlight w:val="none"/>
        </w:rPr>
        <w:t>材料价格执行。若控制价中无此类材料价格，则材料价格</w:t>
      </w:r>
      <w:r>
        <w:rPr>
          <w:rFonts w:hint="eastAsia" w:ascii="宋体" w:hAnsi="宋体" w:cs="Times New Roman"/>
          <w:sz w:val="28"/>
          <w:szCs w:val="28"/>
          <w:highlight w:val="none"/>
        </w:rPr>
        <w:t>按照《四川省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中对应材料价格确定</w:t>
      </w:r>
      <w:r>
        <w:rPr>
          <w:rFonts w:hint="eastAsia" w:ascii="宋体" w:hAnsi="宋体" w:cs="Times New Roman"/>
          <w:sz w:val="28"/>
          <w:szCs w:val="28"/>
          <w:highlight w:val="none"/>
        </w:rPr>
        <w:t>，若《四川省</w:t>
      </w:r>
      <w:r>
        <w:rPr>
          <w:rFonts w:ascii="宋体" w:hAnsi="宋体" w:cs="Times New Roman"/>
          <w:sz w:val="28"/>
          <w:szCs w:val="28"/>
          <w:highlight w:val="none"/>
        </w:rPr>
        <w:t>工程造价信息</w:t>
      </w:r>
      <w:r>
        <w:rPr>
          <w:rFonts w:hint="eastAsia" w:ascii="宋体" w:hAnsi="宋体" w:cs="Times New Roman"/>
          <w:sz w:val="28"/>
          <w:szCs w:val="28"/>
          <w:highlight w:val="none"/>
        </w:rPr>
        <w:t>》</w:t>
      </w:r>
      <w:r>
        <w:rPr>
          <w:rFonts w:ascii="宋体" w:hAnsi="宋体" w:cs="Times New Roman"/>
          <w:sz w:val="28"/>
          <w:szCs w:val="28"/>
          <w:highlight w:val="none"/>
        </w:rPr>
        <w:t>中</w:t>
      </w:r>
      <w:r>
        <w:rPr>
          <w:rFonts w:hint="eastAsia" w:ascii="宋体" w:hAnsi="宋体" w:cs="Times New Roman"/>
          <w:sz w:val="28"/>
          <w:szCs w:val="28"/>
          <w:highlight w:val="none"/>
        </w:rPr>
        <w:t>无</w:t>
      </w:r>
      <w:r>
        <w:rPr>
          <w:rFonts w:ascii="宋体" w:hAnsi="宋体" w:cs="Times New Roman"/>
          <w:sz w:val="28"/>
          <w:szCs w:val="28"/>
          <w:highlight w:val="none"/>
        </w:rPr>
        <w:t>对应材料价格</w:t>
      </w:r>
      <w:r>
        <w:rPr>
          <w:rFonts w:hint="eastAsia" w:ascii="宋体" w:hAnsi="宋体" w:cs="Times New Roman"/>
          <w:sz w:val="28"/>
          <w:szCs w:val="28"/>
          <w:highlight w:val="none"/>
        </w:rPr>
        <w:t>的，按照</w:t>
      </w:r>
      <w:r>
        <w:rPr>
          <w:rFonts w:ascii="宋体" w:hAnsi="宋体" w:cs="Times New Roman"/>
          <w:sz w:val="28"/>
          <w:szCs w:val="28"/>
          <w:highlight w:val="none"/>
        </w:rPr>
        <w:t>相应</w:t>
      </w:r>
      <w:r>
        <w:rPr>
          <w:rFonts w:hint="eastAsia" w:ascii="宋体" w:hAnsi="宋体" w:cs="Times New Roman"/>
          <w:sz w:val="28"/>
          <w:szCs w:val="28"/>
          <w:highlight w:val="none"/>
        </w:rPr>
        <w:t>站点</w:t>
      </w:r>
      <w:r>
        <w:rPr>
          <w:rFonts w:ascii="宋体" w:hAnsi="宋体" w:cs="Times New Roman"/>
          <w:sz w:val="28"/>
          <w:szCs w:val="28"/>
          <w:highlight w:val="none"/>
        </w:rPr>
        <w:t>项目所在地市州工程造价管理部门印发的《工程造价信息》中对应材料价格确定。</w:t>
      </w:r>
      <w:r>
        <w:rPr>
          <w:rFonts w:hint="eastAsia" w:ascii="宋体" w:hAnsi="宋体" w:cs="Times New Roman"/>
          <w:sz w:val="28"/>
          <w:szCs w:val="28"/>
          <w:highlight w:val="none"/>
        </w:rPr>
        <w:t>依然</w:t>
      </w:r>
      <w:r>
        <w:rPr>
          <w:rFonts w:ascii="宋体" w:hAnsi="宋体" w:cs="Times New Roman"/>
          <w:sz w:val="28"/>
          <w:szCs w:val="28"/>
          <w:highlight w:val="none"/>
        </w:rPr>
        <w:t>没有《工程造价信息》的材料或设备由双方通过市场询价确定。</w:t>
      </w:r>
    </w:p>
    <w:p w14:paraId="2C3E81E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6.3.2.4 若取消某</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，则该</w:t>
      </w:r>
      <w:r>
        <w:rPr>
          <w:rFonts w:hint="eastAsia" w:ascii="宋体" w:hAnsi="宋体" w:cs="Times New Roman"/>
          <w:sz w:val="28"/>
          <w:szCs w:val="28"/>
          <w:highlight w:val="none"/>
          <w:lang w:val="en-US" w:eastAsia="zh-CN"/>
        </w:rPr>
        <w:t>分部分项工程</w:t>
      </w:r>
      <w:r>
        <w:rPr>
          <w:rFonts w:ascii="宋体" w:hAnsi="宋体" w:cs="Times New Roman"/>
          <w:sz w:val="28"/>
          <w:szCs w:val="28"/>
          <w:highlight w:val="none"/>
        </w:rPr>
        <w:t>的价款不予支付</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乙方已产生的该项目成本费用由双方协商解决</w:t>
      </w:r>
      <w:r>
        <w:rPr>
          <w:rFonts w:ascii="宋体" w:hAnsi="宋体" w:cs="Times New Roman"/>
          <w:sz w:val="28"/>
          <w:szCs w:val="28"/>
          <w:highlight w:val="none"/>
        </w:rPr>
        <w:t>。</w:t>
      </w:r>
    </w:p>
    <w:p w14:paraId="1AAE6750">
      <w:pPr>
        <w:spacing w:line="600" w:lineRule="exact"/>
        <w:ind w:firstLine="560"/>
        <w:rPr>
          <w:rFonts w:ascii="宋体" w:hAnsi="宋体" w:cs="Times New Roman"/>
          <w:color w:val="FF0000"/>
          <w:sz w:val="28"/>
          <w:szCs w:val="28"/>
          <w:highlight w:val="none"/>
        </w:rPr>
      </w:pPr>
      <w:r>
        <w:rPr>
          <w:rFonts w:ascii="宋体" w:hAnsi="宋体" w:cs="Times New Roman"/>
          <w:sz w:val="28"/>
          <w:szCs w:val="28"/>
          <w:highlight w:val="none"/>
        </w:rPr>
        <w:t>6.3.2.5工程变更的办理流程</w:t>
      </w:r>
      <w:r>
        <w:rPr>
          <w:rFonts w:hint="eastAsia" w:ascii="宋体" w:hAnsi="宋体" w:cs="Times New Roman"/>
          <w:sz w:val="28"/>
          <w:szCs w:val="28"/>
          <w:highlight w:val="none"/>
        </w:rPr>
        <w:t xml:space="preserve">  </w:t>
      </w:r>
    </w:p>
    <w:p w14:paraId="746B79A4">
      <w:pPr>
        <w:spacing w:line="600" w:lineRule="exact"/>
        <w:ind w:firstLine="560"/>
        <w:rPr>
          <w:rFonts w:ascii="宋体" w:hAnsi="宋体" w:cs="Times New Roman"/>
          <w:sz w:val="28"/>
          <w:szCs w:val="28"/>
          <w:highlight w:val="none"/>
        </w:rPr>
      </w:pPr>
      <w:r>
        <w:rPr>
          <w:rFonts w:ascii="宋体" w:hAnsi="宋体" w:cs="Times New Roman"/>
          <w:sz w:val="28"/>
          <w:szCs w:val="28"/>
          <w:highlight w:val="none"/>
        </w:rPr>
        <w:t>按照</w:t>
      </w:r>
      <w:r>
        <w:rPr>
          <w:rFonts w:hint="eastAsia" w:ascii="宋体" w:hAnsi="宋体" w:cs="Times New Roman"/>
          <w:sz w:val="28"/>
          <w:szCs w:val="28"/>
          <w:highlight w:val="none"/>
        </w:rPr>
        <w:t>四川蜀道新能源科技发展有限公司</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高速公路服务区充电站工程项目建设管理办法（试行）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设计变更管理办法（试行）</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办法</w:t>
      </w:r>
      <w:r>
        <w:rPr>
          <w:rFonts w:ascii="宋体" w:hAnsi="宋体" w:cs="Times New Roman"/>
          <w:sz w:val="28"/>
          <w:szCs w:val="28"/>
          <w:highlight w:val="none"/>
        </w:rPr>
        <w:t>执行。</w:t>
      </w:r>
    </w:p>
    <w:p w14:paraId="5313EC2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6.3.3 </w:t>
      </w:r>
      <w:r>
        <w:rPr>
          <w:rFonts w:hint="eastAsia" w:ascii="宋体" w:hAnsi="宋体" w:cs="Times New Roman"/>
          <w:sz w:val="28"/>
          <w:szCs w:val="28"/>
          <w:highlight w:val="none"/>
        </w:rPr>
        <w:t>计费规定</w:t>
      </w:r>
      <w:r>
        <w:rPr>
          <w:rFonts w:ascii="宋体" w:hAnsi="宋体" w:cs="Times New Roman"/>
          <w:sz w:val="28"/>
          <w:szCs w:val="28"/>
          <w:highlight w:val="none"/>
        </w:rPr>
        <w:t>：</w:t>
      </w:r>
    </w:p>
    <w:p w14:paraId="6872F76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 xml:space="preserve">① </w:t>
      </w:r>
      <w:r>
        <w:rPr>
          <w:rFonts w:hint="eastAsia" w:ascii="宋体" w:hAnsi="宋体" w:cs="Times New Roman"/>
          <w:sz w:val="28"/>
          <w:szCs w:val="28"/>
          <w:highlight w:val="none"/>
          <w:lang w:val="en-US" w:eastAsia="zh-CN"/>
        </w:rPr>
        <w:t>安全文明施工措施费（文明施工费、安全施工费、环境保护费、临时设施费）</w:t>
      </w:r>
      <w:r>
        <w:rPr>
          <w:rFonts w:ascii="宋体" w:hAnsi="宋体" w:cs="Times New Roman"/>
          <w:sz w:val="28"/>
          <w:szCs w:val="28"/>
          <w:highlight w:val="none"/>
        </w:rPr>
        <w:t>按</w:t>
      </w:r>
      <w:r>
        <w:rPr>
          <w:rFonts w:hint="eastAsia" w:ascii="宋体" w:hAnsi="宋体" w:cs="Times New Roman"/>
          <w:sz w:val="28"/>
          <w:szCs w:val="28"/>
          <w:highlight w:val="none"/>
        </w:rPr>
        <w:t>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金额包干使用进行</w:t>
      </w:r>
      <w:r>
        <w:rPr>
          <w:rFonts w:ascii="宋体" w:hAnsi="宋体" w:cs="Times New Roman"/>
          <w:sz w:val="28"/>
          <w:szCs w:val="28"/>
          <w:highlight w:val="none"/>
        </w:rPr>
        <w:t>结算</w:t>
      </w:r>
      <w:r>
        <w:rPr>
          <w:rFonts w:hint="eastAsia" w:ascii="宋体" w:hAnsi="宋体" w:cs="Times New Roman"/>
          <w:sz w:val="28"/>
          <w:szCs w:val="28"/>
          <w:highlight w:val="none"/>
          <w:lang w:val="en-US" w:eastAsia="zh-CN"/>
        </w:rPr>
        <w:t>，</w:t>
      </w:r>
      <w:r>
        <w:rPr>
          <w:rFonts w:hint="eastAsia" w:ascii="宋体" w:hAnsi="宋体" w:cs="Times New Roman"/>
          <w:sz w:val="28"/>
          <w:szCs w:val="28"/>
          <w:highlight w:val="none"/>
        </w:rPr>
        <w:t>其余总价措施费（若有）按招标控制价清单</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施工图预算</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金额结合中选取费比例按照合同约定办理</w:t>
      </w:r>
      <w:r>
        <w:rPr>
          <w:rFonts w:ascii="宋体" w:hAnsi="宋体" w:cs="Times New Roman"/>
          <w:sz w:val="28"/>
          <w:szCs w:val="28"/>
          <w:highlight w:val="none"/>
        </w:rPr>
        <w:t>。</w:t>
      </w:r>
      <w:r>
        <w:rPr>
          <w:rFonts w:hint="eastAsia" w:ascii="宋体" w:hAnsi="宋体" w:cs="Times New Roman"/>
          <w:sz w:val="28"/>
          <w:szCs w:val="28"/>
          <w:highlight w:val="none"/>
        </w:rPr>
        <w:t>工程竣工结算时，</w:t>
      </w:r>
      <w:r>
        <w:rPr>
          <w:rFonts w:hint="eastAsia" w:ascii="宋体" w:hAnsi="宋体" w:cs="Times New Roman"/>
          <w:sz w:val="28"/>
          <w:szCs w:val="28"/>
          <w:highlight w:val="none"/>
          <w:lang w:val="en-US" w:eastAsia="zh-CN"/>
        </w:rPr>
        <w:t>当施工现场的围护所发生的围挡费用超过定额安全文明施工基本费的40%时，超过部分的施工现场围挡费用按施工围挡项单价计算。</w:t>
      </w:r>
    </w:p>
    <w:p w14:paraId="360F54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②计日工按四川省造价站发布的地区性文件执行，乙方不报价，实际发生时，办理签证。</w:t>
      </w:r>
    </w:p>
    <w:p w14:paraId="287C3A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4</w:t>
      </w:r>
      <w:r>
        <w:rPr>
          <w:rFonts w:ascii="宋体" w:hAnsi="宋体" w:cs="Times New Roman"/>
          <w:sz w:val="28"/>
          <w:szCs w:val="28"/>
          <w:highlight w:val="none"/>
        </w:rPr>
        <w:t xml:space="preserve"> 可调价材料品种及材料价差的调整</w:t>
      </w:r>
      <w:r>
        <w:rPr>
          <w:rFonts w:hint="eastAsia" w:ascii="宋体" w:hAnsi="宋体" w:cs="Times New Roman"/>
          <w:sz w:val="28"/>
          <w:szCs w:val="28"/>
          <w:highlight w:val="none"/>
        </w:rPr>
        <w:t>：本项目</w:t>
      </w:r>
      <w:r>
        <w:rPr>
          <w:rFonts w:ascii="宋体" w:hAnsi="宋体" w:cs="Times New Roman"/>
          <w:sz w:val="28"/>
          <w:szCs w:val="28"/>
          <w:highlight w:val="none"/>
        </w:rPr>
        <w:t>不作调整</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48E772C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5</w:t>
      </w:r>
      <w:r>
        <w:rPr>
          <w:rFonts w:ascii="宋体" w:hAnsi="宋体" w:cs="Times New Roman"/>
          <w:sz w:val="28"/>
          <w:szCs w:val="28"/>
          <w:highlight w:val="none"/>
        </w:rPr>
        <w:t xml:space="preserve"> </w:t>
      </w:r>
      <w:r>
        <w:rPr>
          <w:rFonts w:hint="eastAsia" w:ascii="宋体" w:hAnsi="宋体" w:cs="Times New Roman"/>
          <w:sz w:val="28"/>
          <w:szCs w:val="28"/>
          <w:highlight w:val="none"/>
        </w:rPr>
        <w:t>计量计价与</w:t>
      </w:r>
      <w:r>
        <w:rPr>
          <w:rFonts w:ascii="宋体" w:hAnsi="宋体" w:cs="Times New Roman"/>
          <w:sz w:val="28"/>
          <w:szCs w:val="28"/>
          <w:highlight w:val="none"/>
        </w:rPr>
        <w:t>竣工结算时，各</w:t>
      </w:r>
      <w:r>
        <w:rPr>
          <w:rFonts w:hint="eastAsia" w:ascii="宋体" w:hAnsi="宋体" w:cs="Times New Roman"/>
          <w:sz w:val="28"/>
          <w:szCs w:val="28"/>
          <w:highlight w:val="none"/>
        </w:rPr>
        <w:t>分部分项</w:t>
      </w:r>
      <w:r>
        <w:rPr>
          <w:rFonts w:ascii="宋体" w:hAnsi="宋体" w:cs="Times New Roman"/>
          <w:sz w:val="28"/>
          <w:szCs w:val="28"/>
          <w:highlight w:val="none"/>
        </w:rPr>
        <w:t>项目实际完成工程量与清单工程量比较，工程量变动幅度不论大小，</w:t>
      </w:r>
      <w:r>
        <w:rPr>
          <w:rFonts w:hint="eastAsia" w:ascii="宋体" w:hAnsi="宋体" w:cs="Times New Roman"/>
          <w:sz w:val="28"/>
          <w:szCs w:val="28"/>
          <w:highlight w:val="none"/>
        </w:rPr>
        <w:t>综合单价</w:t>
      </w:r>
      <w:r>
        <w:rPr>
          <w:rFonts w:ascii="宋体" w:hAnsi="宋体" w:cs="Times New Roman"/>
          <w:sz w:val="28"/>
          <w:szCs w:val="28"/>
          <w:highlight w:val="none"/>
        </w:rPr>
        <w:t>均</w:t>
      </w:r>
      <w:r>
        <w:rPr>
          <w:rFonts w:hint="eastAsia" w:ascii="宋体" w:hAnsi="宋体" w:cs="Times New Roman"/>
          <w:sz w:val="28"/>
          <w:szCs w:val="28"/>
          <w:highlight w:val="none"/>
        </w:rPr>
        <w:t>不作调整，统一按招标控制价清单单价结合中选取费比例按照合同约定办理</w:t>
      </w:r>
      <w:r>
        <w:rPr>
          <w:rFonts w:ascii="宋体" w:hAnsi="宋体" w:cs="Times New Roman"/>
          <w:sz w:val="28"/>
          <w:szCs w:val="28"/>
          <w:highlight w:val="none"/>
        </w:rPr>
        <w:t>。</w:t>
      </w:r>
    </w:p>
    <w:p w14:paraId="3B1E249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 人工费的调整</w:t>
      </w:r>
      <w:r>
        <w:rPr>
          <w:rFonts w:hint="eastAsia" w:ascii="宋体" w:hAnsi="宋体" w:cs="Times New Roman"/>
          <w:sz w:val="28"/>
          <w:szCs w:val="28"/>
          <w:highlight w:val="none"/>
        </w:rPr>
        <w:t>：</w:t>
      </w:r>
    </w:p>
    <w:p w14:paraId="0297018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6</w:t>
      </w:r>
      <w:r>
        <w:rPr>
          <w:rFonts w:ascii="宋体" w:hAnsi="宋体" w:cs="Times New Roman"/>
          <w:sz w:val="28"/>
          <w:szCs w:val="28"/>
          <w:highlight w:val="none"/>
        </w:rPr>
        <w:t xml:space="preserve">.1 </w:t>
      </w:r>
      <w:r>
        <w:rPr>
          <w:rFonts w:hint="eastAsia" w:ascii="宋体" w:hAnsi="宋体" w:cs="Times New Roman"/>
          <w:sz w:val="28"/>
          <w:szCs w:val="28"/>
          <w:highlight w:val="none"/>
        </w:rPr>
        <w:t>比选申请</w:t>
      </w:r>
      <w:r>
        <w:rPr>
          <w:rFonts w:ascii="宋体" w:hAnsi="宋体" w:cs="Times New Roman"/>
          <w:sz w:val="28"/>
          <w:szCs w:val="28"/>
          <w:highlight w:val="none"/>
        </w:rPr>
        <w:t xml:space="preserve">截止日后至本工程竣工期间，建设行政主管部门发布的人工费政策性调整文件，遵照执行。 </w:t>
      </w:r>
    </w:p>
    <w:p w14:paraId="43360F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7</w:t>
      </w:r>
      <w:r>
        <w:rPr>
          <w:rFonts w:ascii="宋体" w:hAnsi="宋体" w:cs="Times New Roman"/>
          <w:sz w:val="28"/>
          <w:szCs w:val="28"/>
          <w:highlight w:val="none"/>
        </w:rPr>
        <w:t xml:space="preserve"> 材料选用应满足设计及相关质量标准的要求，并必须得到甲方现场负责人的</w:t>
      </w:r>
      <w:r>
        <w:rPr>
          <w:rFonts w:hint="eastAsia" w:ascii="宋体" w:hAnsi="宋体" w:cs="Times New Roman"/>
          <w:sz w:val="28"/>
          <w:szCs w:val="28"/>
          <w:highlight w:val="none"/>
        </w:rPr>
        <w:t>验收</w:t>
      </w:r>
      <w:r>
        <w:rPr>
          <w:rFonts w:ascii="宋体" w:hAnsi="宋体" w:cs="Times New Roman"/>
          <w:sz w:val="28"/>
          <w:szCs w:val="28"/>
          <w:highlight w:val="none"/>
        </w:rPr>
        <w:t>认可。</w:t>
      </w:r>
    </w:p>
    <w:p w14:paraId="45211E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6.3.</w:t>
      </w:r>
      <w:r>
        <w:rPr>
          <w:rFonts w:hint="eastAsia" w:ascii="宋体" w:hAnsi="宋体" w:cs="Times New Roman"/>
          <w:sz w:val="28"/>
          <w:szCs w:val="28"/>
          <w:highlight w:val="none"/>
        </w:rPr>
        <w:t>8</w:t>
      </w:r>
      <w:r>
        <w:rPr>
          <w:rFonts w:ascii="宋体" w:hAnsi="宋体" w:cs="Times New Roman"/>
          <w:sz w:val="28"/>
          <w:szCs w:val="28"/>
          <w:highlight w:val="none"/>
        </w:rPr>
        <w:t xml:space="preserve"> 甲方在《</w:t>
      </w:r>
      <w:r>
        <w:rPr>
          <w:rFonts w:hint="eastAsia" w:ascii="宋体" w:hAnsi="宋体" w:cs="Times New Roman"/>
          <w:sz w:val="28"/>
          <w:szCs w:val="28"/>
          <w:highlight w:val="none"/>
        </w:rPr>
        <w:t>招标控制价清单</w:t>
      </w:r>
      <w:r>
        <w:rPr>
          <w:rFonts w:ascii="宋体" w:hAnsi="宋体" w:cs="Times New Roman"/>
          <w:sz w:val="28"/>
          <w:szCs w:val="28"/>
          <w:highlight w:val="none"/>
        </w:rPr>
        <w:t>》中提供了暂估价的材料和专业工程属于按规定必须招标、</w:t>
      </w:r>
      <w:r>
        <w:rPr>
          <w:rFonts w:hint="eastAsia" w:ascii="宋体" w:hAnsi="宋体" w:cs="Times New Roman"/>
          <w:sz w:val="28"/>
          <w:szCs w:val="28"/>
          <w:highlight w:val="none"/>
        </w:rPr>
        <w:t>比选</w:t>
      </w:r>
      <w:r>
        <w:rPr>
          <w:rFonts w:ascii="宋体" w:hAnsi="宋体" w:cs="Times New Roman"/>
          <w:sz w:val="28"/>
          <w:szCs w:val="28"/>
          <w:highlight w:val="none"/>
        </w:rPr>
        <w:t>、谈判的，由乙方和甲方共同通过相应程序确定材料单价与专业工程分包价。</w:t>
      </w:r>
    </w:p>
    <w:p w14:paraId="3D634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 工程拨款与结算</w:t>
      </w:r>
    </w:p>
    <w:p w14:paraId="7AF0CC8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6.4.1 </w:t>
      </w:r>
      <w:r>
        <w:rPr>
          <w:rFonts w:hint="eastAsia" w:ascii="宋体" w:hAnsi="宋体" w:cs="Times New Roman"/>
          <w:sz w:val="28"/>
          <w:szCs w:val="28"/>
          <w:highlight w:val="none"/>
        </w:rPr>
        <w:t>本项目进度款支付方式：</w:t>
      </w:r>
    </w:p>
    <w:p w14:paraId="1C0A5222">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6.4.1.1进度款支付节点：按月支付。乙方当月进度款支付申请在</w:t>
      </w:r>
      <w:r>
        <w:rPr>
          <w:rFonts w:hint="eastAsia" w:ascii="宋体" w:hAnsi="宋体" w:cs="Times New Roman"/>
          <w:sz w:val="28"/>
          <w:szCs w:val="28"/>
          <w:highlight w:val="none"/>
          <w:lang w:val="en-US" w:eastAsia="zh-CN"/>
        </w:rPr>
        <w:t>每月25日</w:t>
      </w:r>
      <w:r>
        <w:rPr>
          <w:rFonts w:hint="eastAsia" w:ascii="宋体" w:hAnsi="宋体" w:cs="Times New Roman"/>
          <w:sz w:val="28"/>
          <w:szCs w:val="28"/>
          <w:highlight w:val="none"/>
        </w:rPr>
        <w:t>上报至监理单位审核，监理单位</w:t>
      </w:r>
      <w:r>
        <w:rPr>
          <w:rFonts w:hint="eastAsia" w:ascii="宋体" w:hAnsi="宋体" w:cs="Times New Roman"/>
          <w:sz w:val="28"/>
          <w:szCs w:val="28"/>
          <w:highlight w:val="none"/>
          <w:lang w:val="en-US" w:eastAsia="zh-CN"/>
        </w:rPr>
        <w:t>7日内</w:t>
      </w:r>
      <w:r>
        <w:rPr>
          <w:rFonts w:hint="eastAsia" w:ascii="宋体" w:hAnsi="宋体" w:cs="Times New Roman"/>
          <w:sz w:val="28"/>
          <w:szCs w:val="28"/>
          <w:highlight w:val="none"/>
        </w:rPr>
        <w:t>审核完毕后报送至甲方审核，甲方在收到进度款支付申请后14日内完成审核工作。</w:t>
      </w:r>
    </w:p>
    <w:p w14:paraId="3BFCE7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监理</w:t>
      </w:r>
      <w:r>
        <w:rPr>
          <w:rFonts w:hint="eastAsia" w:ascii="宋体" w:hAnsi="宋体" w:cs="Times New Roman"/>
          <w:sz w:val="28"/>
          <w:szCs w:val="28"/>
          <w:highlight w:val="none"/>
          <w:lang w:val="en-US" w:eastAsia="zh-CN"/>
        </w:rPr>
        <w:t>单位或甲方未按约定时间</w:t>
      </w:r>
      <w:r>
        <w:rPr>
          <w:rFonts w:hint="eastAsia" w:ascii="宋体" w:hAnsi="宋体" w:cs="Times New Roman"/>
          <w:sz w:val="28"/>
          <w:szCs w:val="28"/>
          <w:highlight w:val="none"/>
        </w:rPr>
        <w:t>完成审核的，乙方报送的进度款支付申请中的工程量视为乙方实际完成的工程量，据此计算工程</w:t>
      </w:r>
      <w:r>
        <w:rPr>
          <w:rFonts w:hint="eastAsia" w:ascii="宋体" w:hAnsi="宋体" w:cs="Times New Roman"/>
          <w:sz w:val="28"/>
          <w:szCs w:val="28"/>
          <w:highlight w:val="none"/>
          <w:lang w:val="en-US" w:eastAsia="zh-CN"/>
        </w:rPr>
        <w:t>进度款</w:t>
      </w:r>
      <w:r>
        <w:rPr>
          <w:rFonts w:hint="eastAsia" w:ascii="宋体" w:hAnsi="宋体" w:cs="Times New Roman"/>
          <w:sz w:val="28"/>
          <w:szCs w:val="28"/>
          <w:highlight w:val="none"/>
        </w:rPr>
        <w:t>。</w:t>
      </w:r>
    </w:p>
    <w:p w14:paraId="10C6F97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6.4.1.2</w:t>
      </w:r>
      <w:r>
        <w:rPr>
          <w:rFonts w:ascii="宋体" w:hAnsi="宋体" w:cs="Times New Roman"/>
          <w:sz w:val="28"/>
          <w:szCs w:val="28"/>
          <w:highlight w:val="none"/>
        </w:rPr>
        <w:t>经甲方</w:t>
      </w:r>
      <w:r>
        <w:rPr>
          <w:rFonts w:hint="eastAsia" w:ascii="宋体" w:hAnsi="宋体" w:cs="Times New Roman"/>
          <w:sz w:val="28"/>
          <w:szCs w:val="28"/>
          <w:highlight w:val="none"/>
        </w:rPr>
        <w:t>审核完成</w:t>
      </w:r>
      <w:r>
        <w:rPr>
          <w:rFonts w:ascii="宋体" w:hAnsi="宋体" w:cs="Times New Roman"/>
          <w:sz w:val="28"/>
          <w:szCs w:val="28"/>
          <w:highlight w:val="none"/>
        </w:rPr>
        <w:t>书面确认</w:t>
      </w:r>
      <w:r>
        <w:rPr>
          <w:rFonts w:hint="eastAsia" w:ascii="宋体" w:hAnsi="宋体" w:cs="Times New Roman"/>
          <w:sz w:val="28"/>
          <w:szCs w:val="28"/>
          <w:highlight w:val="none"/>
        </w:rPr>
        <w:t>并收到付款金额等</w:t>
      </w:r>
      <w:r>
        <w:rPr>
          <w:rFonts w:ascii="宋体" w:hAnsi="宋体" w:cs="Times New Roman"/>
          <w:sz w:val="28"/>
          <w:szCs w:val="28"/>
          <w:highlight w:val="none"/>
        </w:rPr>
        <w:t>额</w:t>
      </w:r>
      <w:r>
        <w:rPr>
          <w:rFonts w:hint="eastAsia" w:ascii="宋体" w:hAnsi="宋体" w:cs="Times New Roman"/>
          <w:sz w:val="28"/>
          <w:szCs w:val="28"/>
          <w:highlight w:val="none"/>
        </w:rPr>
        <w:t>的</w:t>
      </w:r>
      <w:r>
        <w:rPr>
          <w:rFonts w:ascii="宋体" w:hAnsi="宋体" w:cs="Times New Roman"/>
          <w:sz w:val="28"/>
          <w:szCs w:val="28"/>
          <w:highlight w:val="none"/>
        </w:rPr>
        <w:t>增值税</w:t>
      </w:r>
      <w:r>
        <w:rPr>
          <w:rFonts w:hint="eastAsia" w:ascii="宋体" w:hAnsi="宋体" w:cs="Times New Roman"/>
          <w:sz w:val="28"/>
          <w:szCs w:val="28"/>
          <w:highlight w:val="none"/>
          <w:lang w:val="en-US" w:eastAsia="zh-CN"/>
        </w:rPr>
        <w:t>专</w:t>
      </w:r>
      <w:r>
        <w:rPr>
          <w:rFonts w:ascii="宋体" w:hAnsi="宋体" w:cs="Times New Roman"/>
          <w:sz w:val="28"/>
          <w:szCs w:val="28"/>
          <w:highlight w:val="none"/>
        </w:rPr>
        <w:t xml:space="preserve">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日内甲方</w:t>
      </w:r>
      <w:r>
        <w:rPr>
          <w:rFonts w:hint="eastAsia" w:ascii="宋体" w:hAnsi="宋体" w:cs="Times New Roman"/>
          <w:sz w:val="28"/>
          <w:szCs w:val="28"/>
          <w:highlight w:val="none"/>
        </w:rPr>
        <w:t>向乙方</w:t>
      </w:r>
      <w:r>
        <w:rPr>
          <w:rFonts w:ascii="宋体" w:hAnsi="宋体" w:cs="Times New Roman"/>
          <w:sz w:val="28"/>
          <w:szCs w:val="28"/>
          <w:highlight w:val="none"/>
        </w:rPr>
        <w:t>支付</w:t>
      </w:r>
      <w:r>
        <w:rPr>
          <w:rFonts w:hint="eastAsia" w:ascii="宋体" w:hAnsi="宋体" w:cs="Times New Roman"/>
          <w:sz w:val="28"/>
          <w:szCs w:val="28"/>
          <w:highlight w:val="none"/>
        </w:rPr>
        <w:t>至</w:t>
      </w:r>
      <w:r>
        <w:rPr>
          <w:rFonts w:hint="eastAsia" w:ascii="宋体" w:hAnsi="宋体" w:cs="Times New Roman"/>
          <w:sz w:val="28"/>
          <w:szCs w:val="28"/>
          <w:highlight w:val="none"/>
          <w:lang w:val="en-US" w:eastAsia="zh-CN"/>
        </w:rPr>
        <w:t>经甲方审核确认的</w:t>
      </w:r>
      <w:r>
        <w:rPr>
          <w:rFonts w:hint="eastAsia" w:ascii="宋体" w:hAnsi="宋体" w:cs="Times New Roman"/>
          <w:sz w:val="28"/>
          <w:szCs w:val="28"/>
          <w:highlight w:val="none"/>
        </w:rPr>
        <w:t>已完合格工程量的</w:t>
      </w:r>
      <w:r>
        <w:rPr>
          <w:rFonts w:hint="eastAsia" w:ascii="宋体" w:hAnsi="宋体" w:cs="Times New Roman"/>
          <w:sz w:val="28"/>
          <w:szCs w:val="28"/>
          <w:highlight w:val="none"/>
          <w:lang w:val="en-US" w:eastAsia="zh-CN"/>
        </w:rPr>
        <w:t>60</w:t>
      </w:r>
      <w:r>
        <w:rPr>
          <w:rFonts w:hint="eastAsia" w:ascii="宋体" w:hAnsi="宋体" w:cs="Times New Roman"/>
          <w:sz w:val="28"/>
          <w:szCs w:val="28"/>
          <w:highlight w:val="none"/>
        </w:rPr>
        <w:t>%</w:t>
      </w:r>
      <w:r>
        <w:rPr>
          <w:rFonts w:ascii="宋体" w:hAnsi="宋体" w:cs="Times New Roman"/>
          <w:sz w:val="28"/>
          <w:szCs w:val="28"/>
          <w:highlight w:val="none"/>
        </w:rPr>
        <w:t>。</w:t>
      </w:r>
    </w:p>
    <w:p w14:paraId="38370A8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6.4.1.3</w:t>
      </w:r>
      <w:r>
        <w:rPr>
          <w:rFonts w:hint="eastAsia" w:ascii="宋体" w:hAnsi="宋体" w:cs="Times New Roman"/>
          <w:sz w:val="28"/>
          <w:szCs w:val="28"/>
          <w:highlight w:val="none"/>
        </w:rPr>
        <w:t>乙方完成全部工程并通电，</w:t>
      </w:r>
      <w:r>
        <w:rPr>
          <w:rFonts w:ascii="宋体" w:hAnsi="宋体" w:cs="Times New Roman"/>
          <w:sz w:val="28"/>
          <w:szCs w:val="28"/>
          <w:highlight w:val="none"/>
        </w:rPr>
        <w:t>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w:t>
      </w:r>
      <w:r>
        <w:rPr>
          <w:rFonts w:hint="eastAsia" w:ascii="宋体" w:hAnsi="宋体" w:cs="Times New Roman"/>
          <w:sz w:val="28"/>
          <w:szCs w:val="28"/>
          <w:highlight w:val="none"/>
        </w:rPr>
        <w:t>85</w:t>
      </w:r>
      <w:r>
        <w:rPr>
          <w:rFonts w:ascii="宋体" w:hAnsi="宋体" w:cs="Times New Roman"/>
          <w:sz w:val="28"/>
          <w:szCs w:val="28"/>
          <w:highlight w:val="none"/>
        </w:rPr>
        <w:t>%。</w:t>
      </w:r>
    </w:p>
    <w:p w14:paraId="787560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6.4.1.</w:t>
      </w:r>
      <w:r>
        <w:rPr>
          <w:rFonts w:hint="eastAsia" w:ascii="宋体" w:hAnsi="宋体" w:cs="Times New Roman"/>
          <w:sz w:val="28"/>
          <w:szCs w:val="28"/>
          <w:highlight w:val="none"/>
        </w:rPr>
        <w:t>4</w:t>
      </w:r>
      <w:r>
        <w:rPr>
          <w:rFonts w:ascii="宋体" w:hAnsi="宋体" w:cs="Times New Roman"/>
          <w:sz w:val="28"/>
          <w:szCs w:val="28"/>
          <w:highlight w:val="none"/>
        </w:rPr>
        <w:t>乙方全部工程竣工验收合格并经甲方</w:t>
      </w:r>
      <w:r>
        <w:rPr>
          <w:rFonts w:hint="eastAsia" w:ascii="宋体" w:hAnsi="宋体" w:cs="Times New Roman"/>
          <w:sz w:val="28"/>
          <w:szCs w:val="28"/>
          <w:highlight w:val="none"/>
        </w:rPr>
        <w:t>审核完成</w:t>
      </w:r>
      <w:r>
        <w:rPr>
          <w:rFonts w:ascii="宋体" w:hAnsi="宋体" w:cs="Times New Roman"/>
          <w:sz w:val="28"/>
          <w:szCs w:val="28"/>
          <w:highlight w:val="none"/>
        </w:rPr>
        <w:t xml:space="preserve">书面确认并收到付款金额等额的增值税专用发票后 </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 xml:space="preserve"> 日内甲方向乙方支付至</w:t>
      </w:r>
      <w:r>
        <w:rPr>
          <w:rFonts w:hint="eastAsia" w:ascii="宋体" w:hAnsi="宋体" w:cs="Times New Roman"/>
          <w:sz w:val="28"/>
          <w:szCs w:val="28"/>
          <w:highlight w:val="none"/>
          <w:lang w:val="en-US" w:eastAsia="zh-CN"/>
        </w:rPr>
        <w:t>经甲方审核确认的</w:t>
      </w:r>
      <w:r>
        <w:rPr>
          <w:rFonts w:ascii="宋体" w:hAnsi="宋体" w:cs="Times New Roman"/>
          <w:sz w:val="28"/>
          <w:szCs w:val="28"/>
          <w:highlight w:val="none"/>
        </w:rPr>
        <w:t>已完合格工程量的90%。</w:t>
      </w:r>
    </w:p>
    <w:p w14:paraId="72AACE2E">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6.4.2</w:t>
      </w:r>
      <w:r>
        <w:rPr>
          <w:rFonts w:ascii="宋体" w:hAnsi="宋体" w:cs="Times New Roman"/>
          <w:sz w:val="28"/>
          <w:szCs w:val="28"/>
          <w:highlight w:val="none"/>
        </w:rPr>
        <w:t>甲方在全部工程竣工验收合格并收到乙方完整、合格的工程竣工资料和结算资料后办理竣工结算。竣工结算经甲方</w:t>
      </w:r>
      <w:r>
        <w:rPr>
          <w:rFonts w:hint="eastAsia" w:ascii="宋体" w:hAnsi="宋体" w:cs="Times New Roman"/>
          <w:sz w:val="28"/>
          <w:szCs w:val="28"/>
          <w:highlight w:val="none"/>
          <w:lang w:val="en-US" w:eastAsia="zh-CN"/>
        </w:rPr>
        <w:t>审核并且经甲方</w:t>
      </w:r>
      <w:r>
        <w:rPr>
          <w:rFonts w:ascii="宋体" w:hAnsi="宋体" w:cs="Times New Roman"/>
          <w:sz w:val="28"/>
          <w:szCs w:val="28"/>
          <w:highlight w:val="none"/>
        </w:rPr>
        <w:t>委托的</w:t>
      </w:r>
      <w:r>
        <w:rPr>
          <w:rFonts w:hint="eastAsia" w:ascii="宋体" w:hAnsi="宋体" w:cs="Times New Roman"/>
          <w:sz w:val="28"/>
          <w:szCs w:val="28"/>
          <w:highlight w:val="none"/>
        </w:rPr>
        <w:t>造价咨询</w:t>
      </w:r>
      <w:r>
        <w:rPr>
          <w:rFonts w:ascii="宋体" w:hAnsi="宋体" w:cs="Times New Roman"/>
          <w:sz w:val="28"/>
          <w:szCs w:val="28"/>
          <w:highlight w:val="none"/>
        </w:rPr>
        <w:t>单位审定并出具审计报告后，扣除审定金额的</w:t>
      </w:r>
      <w:r>
        <w:rPr>
          <w:rFonts w:hint="eastAsia" w:ascii="宋体" w:hAnsi="宋体" w:cs="Times New Roman"/>
          <w:sz w:val="28"/>
          <w:szCs w:val="28"/>
          <w:highlight w:val="none"/>
        </w:rPr>
        <w:t>3</w:t>
      </w:r>
      <w:r>
        <w:rPr>
          <w:rFonts w:ascii="宋体" w:hAnsi="宋体" w:cs="Times New Roman"/>
          <w:sz w:val="28"/>
          <w:szCs w:val="28"/>
          <w:highlight w:val="none"/>
        </w:rPr>
        <w:t>%作为质量保</w:t>
      </w:r>
      <w:r>
        <w:rPr>
          <w:rFonts w:hint="eastAsia" w:ascii="宋体" w:hAnsi="宋体" w:cs="Times New Roman"/>
          <w:sz w:val="28"/>
          <w:szCs w:val="28"/>
          <w:highlight w:val="none"/>
        </w:rPr>
        <w:t>证金，余款在收到付款金额等额的增值税专用发票后 30 日内支付。</w:t>
      </w:r>
    </w:p>
    <w:p w14:paraId="7B294C25">
      <w:pPr>
        <w:spacing w:line="600" w:lineRule="exact"/>
        <w:ind w:firstLine="560" w:firstLineChars="200"/>
        <w:rPr>
          <w:rFonts w:hint="eastAsia"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6.4.3 乙方认可并同意以甲方委托的造价咨询单位出具的审计报告作为甲乙双方结算价款。同时乙方认可并同意，如果本项目被政府审计单位抽中进行政府审计的，或者本项目需要进行政府审计的，则以政府审计最终审计价款作为甲乙双方最终结算价款。</w:t>
      </w:r>
    </w:p>
    <w:p w14:paraId="0A382372">
      <w:pPr>
        <w:spacing w:line="600" w:lineRule="exact"/>
        <w:ind w:firstLine="560" w:firstLineChars="200"/>
        <w:rPr>
          <w:rFonts w:hint="default" w:ascii="宋体" w:hAnsi="宋体" w:cs="Times New Roman"/>
          <w:sz w:val="28"/>
          <w:szCs w:val="28"/>
          <w:highlight w:val="none"/>
          <w:lang w:val="en-US" w:eastAsia="zh-CN"/>
        </w:rPr>
      </w:pPr>
      <w:r>
        <w:rPr>
          <w:rFonts w:hint="eastAsia" w:ascii="宋体" w:hAnsi="宋体" w:cs="Times New Roman"/>
          <w:sz w:val="28"/>
          <w:szCs w:val="28"/>
          <w:highlight w:val="none"/>
          <w:lang w:val="en-US" w:eastAsia="zh-CN"/>
        </w:rPr>
        <w:t xml:space="preserve">6.4.4 </w:t>
      </w:r>
      <w:r>
        <w:rPr>
          <w:rFonts w:hint="eastAsia" w:ascii="宋体" w:hAnsi="宋体" w:cs="Times New Roman"/>
          <w:sz w:val="28"/>
          <w:szCs w:val="28"/>
          <w:highlight w:val="none"/>
        </w:rPr>
        <w:t>甲方在收到乙方提交</w:t>
      </w:r>
      <w:r>
        <w:rPr>
          <w:rFonts w:ascii="宋体" w:hAnsi="宋体" w:cs="Times New Roman"/>
          <w:sz w:val="28"/>
          <w:szCs w:val="28"/>
          <w:highlight w:val="none"/>
        </w:rPr>
        <w:t>完整的</w:t>
      </w:r>
      <w:r>
        <w:rPr>
          <w:rFonts w:hint="eastAsia" w:ascii="宋体" w:hAnsi="宋体" w:cs="Times New Roman"/>
          <w:sz w:val="28"/>
          <w:szCs w:val="28"/>
          <w:highlight w:val="none"/>
          <w:lang w:val="en-US" w:eastAsia="zh-CN"/>
        </w:rPr>
        <w:t>付款申请单</w:t>
      </w:r>
      <w:r>
        <w:rPr>
          <w:rFonts w:hint="eastAsia" w:ascii="宋体" w:hAnsi="宋体" w:cs="Times New Roman"/>
          <w:sz w:val="28"/>
          <w:szCs w:val="28"/>
          <w:highlight w:val="none"/>
        </w:rPr>
        <w:t>后28天内未完成审批且未提出异议的，视为甲方认可乙方提交的竣工结算付款申请单，并自甲方收到乙方提交的竣工结算付款申请单后第29天起视为已签发竣工付款证书。</w:t>
      </w:r>
    </w:p>
    <w:p w14:paraId="162D2D1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 预付款</w:t>
      </w:r>
    </w:p>
    <w:p w14:paraId="0D98AB88">
      <w:pPr>
        <w:spacing w:line="600" w:lineRule="exact"/>
        <w:ind w:firstLine="560" w:firstLineChars="200"/>
        <w:rPr>
          <w:rFonts w:hint="eastAsia" w:ascii="宋体" w:hAnsi="宋体" w:eastAsia="宋体" w:cs="Times New Roman"/>
          <w:sz w:val="28"/>
          <w:szCs w:val="28"/>
          <w:highlight w:val="none"/>
          <w:lang w:eastAsia="zh-CN"/>
        </w:rPr>
      </w:pPr>
      <w:r>
        <w:rPr>
          <w:rFonts w:hint="eastAsia" w:ascii="宋体" w:hAnsi="宋体" w:cs="Times New Roman"/>
          <w:sz w:val="28"/>
          <w:szCs w:val="28"/>
          <w:highlight w:val="none"/>
        </w:rPr>
        <w:t>6.5.1 开工预付款：</w:t>
      </w:r>
      <w:r>
        <w:rPr>
          <w:rFonts w:hint="eastAsia" w:ascii="宋体" w:hAnsi="宋体" w:cs="Times New Roman"/>
          <w:sz w:val="28"/>
          <w:szCs w:val="28"/>
          <w:highlight w:val="none"/>
          <w:lang w:val="en-US" w:eastAsia="zh-CN"/>
        </w:rPr>
        <w:t>无。</w:t>
      </w:r>
    </w:p>
    <w:p w14:paraId="133F8C0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6.5.2 材料、设备预付款：甲方根据工程实际情况，可对已到场的电缆、箱式变压器等将被用于永久性工程的材料、设备支付预付款，预付款比例为不超过经验收合格的材料、设备单据所列费用的75%。</w:t>
      </w:r>
    </w:p>
    <w:p w14:paraId="08FE0EC4">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预付款的支付不应被视为对上述材料、设备的批准，申请材料、设备预付款的各种材料、设备总量应控制在建设项目需要的各种材料、设备总量范围内，且满足以下条件：</w:t>
      </w:r>
    </w:p>
    <w:p w14:paraId="0696AC87">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（1）材料、设备符合规范要求并经监理工程师或甲方代表认可；</w:t>
      </w:r>
    </w:p>
    <w:p w14:paraId="64E4EA0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已出具材料、设备购买费用凭证或支付单据；</w:t>
      </w:r>
    </w:p>
    <w:p w14:paraId="24A675EC">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（3）材料、设备已在现场交货且存储良好，监理工程师或甲方认为材料、设备的存储方法符合要求；</w:t>
      </w:r>
    </w:p>
    <w:p w14:paraId="06DA0B3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（4）在施工项目计量（含未扣回材料、设备预付款）累计达到</w:t>
      </w:r>
      <w:r>
        <w:rPr>
          <w:rFonts w:hint="eastAsia" w:ascii="宋体" w:hAnsi="宋体" w:cs="Times New Roman"/>
          <w:sz w:val="28"/>
          <w:szCs w:val="28"/>
          <w:highlight w:val="none"/>
          <w:lang w:val="en-US" w:eastAsia="zh-CN"/>
        </w:rPr>
        <w:t>暂定合同总</w:t>
      </w:r>
      <w:r>
        <w:rPr>
          <w:rFonts w:hint="eastAsia" w:ascii="宋体" w:hAnsi="宋体" w:cs="Times New Roman"/>
          <w:sz w:val="28"/>
          <w:szCs w:val="28"/>
          <w:highlight w:val="none"/>
        </w:rPr>
        <w:t>金额</w:t>
      </w:r>
      <w:r>
        <w:rPr>
          <w:rFonts w:hint="eastAsia" w:ascii="宋体" w:hAnsi="宋体" w:cs="Times New Roman"/>
          <w:sz w:val="28"/>
          <w:szCs w:val="28"/>
          <w:highlight w:val="none"/>
          <w:lang w:eastAsia="zh-CN"/>
        </w:rPr>
        <w:t>的</w:t>
      </w:r>
      <w:r>
        <w:rPr>
          <w:rFonts w:hint="eastAsia" w:ascii="宋体" w:hAnsi="宋体" w:cs="Times New Roman"/>
          <w:sz w:val="28"/>
          <w:szCs w:val="28"/>
          <w:highlight w:val="none"/>
        </w:rPr>
        <w:t>80%时，将不再支付材料、设备预付款。</w:t>
      </w:r>
    </w:p>
    <w:p w14:paraId="0AD3FBCF">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6.5.3 预付款保函</w:t>
      </w:r>
    </w:p>
    <w:p w14:paraId="3418437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本项约定为：</w:t>
      </w:r>
    </w:p>
    <w:p w14:paraId="281A690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开工预付款保函：无</w:t>
      </w:r>
    </w:p>
    <w:p w14:paraId="50183239">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材料、设备预付款保函：无</w:t>
      </w:r>
    </w:p>
    <w:p w14:paraId="3A0865EB">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 预付款的扣回和还清</w:t>
      </w:r>
    </w:p>
    <w:p w14:paraId="2356EF13">
      <w:pPr>
        <w:spacing w:line="600" w:lineRule="exact"/>
        <w:ind w:firstLine="560"/>
        <w:rPr>
          <w:rFonts w:hint="eastAsia" w:ascii="宋体" w:hAnsi="宋体" w:cs="Times New Roman"/>
          <w:sz w:val="28"/>
          <w:szCs w:val="28"/>
          <w:highlight w:val="none"/>
        </w:rPr>
      </w:pPr>
      <w:r>
        <w:rPr>
          <w:rFonts w:hint="eastAsia" w:ascii="宋体" w:hAnsi="宋体" w:cs="Times New Roman"/>
          <w:sz w:val="28"/>
          <w:szCs w:val="28"/>
          <w:highlight w:val="none"/>
        </w:rPr>
        <w:t>6.5.4.1 开工预付款的扣回：开工预付款在进度付款证书的累计金额未达到合同的30%之前不予扣回。在达到30%之后，开始按工程进度以一定比例分期从进度付款证书中扣回，全部金额在进度付款证书的累计金额达到合同价80%之前扣完。</w:t>
      </w:r>
    </w:p>
    <w:p w14:paraId="5FBF87F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6.5.4.2 材料、设备预付款：从支付材料、设备预付款当期的下期进度付款证书中扣回。</w:t>
      </w:r>
    </w:p>
    <w:p w14:paraId="4380D7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 竣工结算</w:t>
      </w:r>
    </w:p>
    <w:p w14:paraId="68C865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 结算内审：乙方应在自竣工验收合格之日起28个日历天内完成竣工结算资料的编制与送交。</w:t>
      </w:r>
    </w:p>
    <w:p w14:paraId="31967A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 乙方的送审</w:t>
      </w:r>
    </w:p>
    <w:p w14:paraId="60CEE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.1.1.1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乙方未在规定时间内向甲方提交竣工结算付款申请单（含完整的工程竣工结算资料），甲方将按每延误一天向乙方扣减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000元违约金。如因乙方提交资料不完整，导致的往复时间计入送审规定时间。</w:t>
      </w:r>
    </w:p>
    <w:p w14:paraId="5413E8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.1.1.2 若出现合同非正常终止，</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乙方在合同终止后60个日历天内未向甲方提交已完工程结算付款申请单（含完整的工程竣工结算资料），甲方将按每延误一天向乙方扣减</w:t>
      </w:r>
      <w:r>
        <w:rPr>
          <w:rFonts w:hint="eastAsia" w:ascii="宋体" w:hAnsi="宋体" w:cs="Times New Roman"/>
          <w:sz w:val="28"/>
          <w:szCs w:val="28"/>
          <w:highlight w:val="none"/>
          <w:lang w:val="en-US" w:eastAsia="zh-CN"/>
        </w:rPr>
        <w:t>2</w:t>
      </w:r>
      <w:r>
        <w:rPr>
          <w:rFonts w:ascii="宋体" w:hAnsi="宋体" w:cs="Times New Roman"/>
          <w:sz w:val="28"/>
          <w:szCs w:val="28"/>
          <w:highlight w:val="none"/>
        </w:rPr>
        <w:t>000元违约金。</w:t>
      </w:r>
    </w:p>
    <w:p w14:paraId="3F0B4C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.1.1.3 </w:t>
      </w:r>
      <w:r>
        <w:rPr>
          <w:rFonts w:hint="eastAsia" w:ascii="宋体" w:hAnsi="宋体" w:cs="Times New Roman"/>
          <w:sz w:val="28"/>
          <w:szCs w:val="28"/>
          <w:highlight w:val="none"/>
          <w:lang w:val="en-US" w:eastAsia="zh-CN"/>
        </w:rPr>
        <w:t>因乙方原因，</w:t>
      </w:r>
      <w:r>
        <w:rPr>
          <w:rFonts w:ascii="宋体" w:hAnsi="宋体" w:cs="Times New Roman"/>
          <w:sz w:val="28"/>
          <w:szCs w:val="28"/>
          <w:highlight w:val="none"/>
        </w:rPr>
        <w:t>乙方在工程竣工验收完成或在合同非正常终止60个日历天内未向甲方提交竣工结算付款申请单（含完整的工程竣工结算资料），经甲方催促后14天内仍未提供或没有明确答复，甲方有权根据已有资料单方面办理竣工结算，并视为乙方对竣工结算予以认可。</w:t>
      </w:r>
    </w:p>
    <w:p w14:paraId="31D6F3CA">
      <w:pPr>
        <w:spacing w:line="600" w:lineRule="exact"/>
        <w:ind w:firstLine="560" w:firstLineChars="200"/>
        <w:rPr>
          <w:rFonts w:ascii="宋体" w:hAnsi="宋体"/>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 xml:space="preserve">.1.1.4 </w:t>
      </w:r>
      <w:r>
        <w:rPr>
          <w:rFonts w:ascii="宋体" w:hAnsi="宋体"/>
          <w:sz w:val="28"/>
          <w:szCs w:val="28"/>
          <w:highlight w:val="none"/>
        </w:rPr>
        <w:t>甲方可委托造价咨询单位对乙方所报竣工结算进行审核，并出具</w:t>
      </w:r>
      <w:r>
        <w:rPr>
          <w:rFonts w:hint="eastAsia" w:ascii="宋体" w:hAnsi="宋体"/>
          <w:sz w:val="28"/>
          <w:szCs w:val="28"/>
          <w:highlight w:val="none"/>
        </w:rPr>
        <w:t>经</w:t>
      </w:r>
      <w:r>
        <w:rPr>
          <w:rFonts w:ascii="宋体" w:hAnsi="宋体"/>
          <w:sz w:val="28"/>
          <w:szCs w:val="28"/>
          <w:highlight w:val="none"/>
        </w:rPr>
        <w:t>甲方确认的竣工结算审核报告。</w:t>
      </w:r>
    </w:p>
    <w:p w14:paraId="118F7F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.1.1.5 若乙方在</w:t>
      </w:r>
      <w:r>
        <w:rPr>
          <w:rFonts w:hint="eastAsia" w:ascii="宋体" w:hAnsi="宋体" w:cs="Times New Roman"/>
          <w:sz w:val="28"/>
          <w:szCs w:val="28"/>
          <w:highlight w:val="none"/>
        </w:rPr>
        <w:t>比选申请</w:t>
      </w:r>
      <w:r>
        <w:rPr>
          <w:rFonts w:ascii="宋体" w:hAnsi="宋体" w:cs="Times New Roman"/>
          <w:sz w:val="28"/>
          <w:szCs w:val="28"/>
          <w:highlight w:val="none"/>
        </w:rPr>
        <w:t>时对</w:t>
      </w:r>
      <w:r>
        <w:rPr>
          <w:rFonts w:hint="eastAsia" w:ascii="宋体" w:hAnsi="宋体" w:cs="Times New Roman"/>
          <w:sz w:val="28"/>
          <w:szCs w:val="28"/>
          <w:highlight w:val="none"/>
        </w:rPr>
        <w:t>比选文件</w:t>
      </w:r>
      <w:r>
        <w:rPr>
          <w:rFonts w:ascii="宋体" w:hAnsi="宋体" w:cs="Times New Roman"/>
          <w:sz w:val="28"/>
          <w:szCs w:val="28"/>
          <w:highlight w:val="none"/>
        </w:rPr>
        <w:t>规定不能修改的内容作过修改，但</w:t>
      </w:r>
      <w:r>
        <w:rPr>
          <w:rFonts w:hint="eastAsia" w:ascii="宋体" w:hAnsi="宋体" w:cs="Times New Roman"/>
          <w:sz w:val="28"/>
          <w:szCs w:val="28"/>
          <w:highlight w:val="none"/>
        </w:rPr>
        <w:t>评审</w:t>
      </w:r>
      <w:r>
        <w:rPr>
          <w:rFonts w:ascii="宋体" w:hAnsi="宋体" w:cs="Times New Roman"/>
          <w:sz w:val="28"/>
          <w:szCs w:val="28"/>
          <w:highlight w:val="none"/>
        </w:rPr>
        <w:t xml:space="preserve">时未被发现，则结算时甲方将按对乙方不利的解释执行。 </w:t>
      </w:r>
    </w:p>
    <w:p w14:paraId="3A23D8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6</w:t>
      </w:r>
      <w:r>
        <w:rPr>
          <w:rFonts w:ascii="宋体" w:hAnsi="宋体" w:cs="Times New Roman"/>
          <w:sz w:val="28"/>
          <w:szCs w:val="28"/>
          <w:highlight w:val="none"/>
        </w:rPr>
        <w:t>.1.1.6 由于国家政策原因，乙方承包工程完工时间超过2年，仍无法进行竣工验收，在乙方将工程移交给甲方后可参照本条进行完工结算。</w:t>
      </w:r>
    </w:p>
    <w:p w14:paraId="01B46C1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7</w:t>
      </w:r>
      <w:r>
        <w:rPr>
          <w:rFonts w:ascii="宋体" w:hAnsi="宋体" w:cs="Times New Roman"/>
          <w:sz w:val="28"/>
          <w:szCs w:val="28"/>
          <w:highlight w:val="none"/>
        </w:rPr>
        <w:t xml:space="preserve"> 物价波动引起的价格调整</w:t>
      </w:r>
    </w:p>
    <w:p w14:paraId="3EB1CF20">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不作调整。</w:t>
      </w:r>
    </w:p>
    <w:p w14:paraId="5D3AED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8</w:t>
      </w:r>
      <w:r>
        <w:rPr>
          <w:rFonts w:ascii="宋体" w:hAnsi="宋体" w:cs="Times New Roman"/>
          <w:sz w:val="28"/>
          <w:szCs w:val="28"/>
          <w:highlight w:val="none"/>
        </w:rPr>
        <w:t xml:space="preserve"> 法规更改引起的价格调整</w:t>
      </w:r>
    </w:p>
    <w:p w14:paraId="195FAB1A">
      <w:pPr>
        <w:spacing w:line="600" w:lineRule="exact"/>
        <w:ind w:firstLine="560" w:firstLineChars="200"/>
        <w:rPr>
          <w:rFonts w:hint="default" w:ascii="宋体" w:hAnsi="宋体" w:eastAsia="宋体" w:cs="Times New Roman"/>
          <w:sz w:val="28"/>
          <w:szCs w:val="28"/>
          <w:highlight w:val="none"/>
          <w:lang w:val="en-US" w:eastAsia="zh-CN"/>
        </w:rPr>
      </w:pPr>
      <w:r>
        <w:rPr>
          <w:rFonts w:ascii="宋体" w:hAnsi="宋体" w:cs="Times New Roman"/>
          <w:sz w:val="28"/>
          <w:szCs w:val="28"/>
          <w:highlight w:val="none"/>
        </w:rPr>
        <w:t>在</w:t>
      </w:r>
      <w:r>
        <w:rPr>
          <w:rFonts w:hint="eastAsia" w:ascii="宋体" w:hAnsi="宋体" w:cs="Times New Roman"/>
          <w:sz w:val="28"/>
          <w:szCs w:val="28"/>
          <w:highlight w:val="none"/>
        </w:rPr>
        <w:t>比选申请</w:t>
      </w:r>
      <w:r>
        <w:rPr>
          <w:rFonts w:ascii="宋体" w:hAnsi="宋体" w:cs="Times New Roman"/>
          <w:sz w:val="28"/>
          <w:szCs w:val="28"/>
          <w:highlight w:val="none"/>
        </w:rPr>
        <w:t>截止日前的28天后，国家的法律、行政法规或国务院有关部门的规章和工程所在地的省、自治区、直辖市的</w:t>
      </w:r>
      <w:r>
        <w:rPr>
          <w:rFonts w:hint="eastAsia" w:ascii="宋体" w:hAnsi="宋体" w:cs="Times New Roman"/>
          <w:sz w:val="28"/>
          <w:szCs w:val="28"/>
          <w:highlight w:val="none"/>
        </w:rPr>
        <w:t>地方性法规</w:t>
      </w:r>
      <w:r>
        <w:rPr>
          <w:rFonts w:ascii="宋体" w:hAnsi="宋体" w:cs="Times New Roman"/>
          <w:sz w:val="28"/>
          <w:szCs w:val="28"/>
          <w:highlight w:val="none"/>
        </w:rPr>
        <w:t>和规章发生变更，导致乙方在实施合同期间所需要的工程费用发生增减时，应由甲方和乙方进行协商后确定需调整的合同金额。</w:t>
      </w:r>
      <w:r>
        <w:rPr>
          <w:rFonts w:hint="eastAsia" w:ascii="宋体" w:hAnsi="宋体" w:cs="Times New Roman"/>
          <w:sz w:val="28"/>
          <w:szCs w:val="28"/>
          <w:highlight w:val="none"/>
          <w:lang w:val="en-US" w:eastAsia="zh-CN"/>
        </w:rPr>
        <w:t>如经协商无法达成一致的，则按照较少金额方式执行。</w:t>
      </w:r>
    </w:p>
    <w:p w14:paraId="411927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 xml:space="preserve"> 其他约定</w:t>
      </w:r>
    </w:p>
    <w:p w14:paraId="3CCCE2B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.1 工程的措施费应当按甲方的规定履行审批程序。</w:t>
      </w:r>
    </w:p>
    <w:p w14:paraId="452EBD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.2 在施工过程中发生阻工等事件，由甲乙双方共同协商解决，甲方仅承担施工现场的机械设备怠班费用和进出场费用，其他费用由乙方承担。</w:t>
      </w:r>
    </w:p>
    <w:p w14:paraId="34ED421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9</w:t>
      </w:r>
      <w:r>
        <w:rPr>
          <w:rFonts w:ascii="宋体" w:hAnsi="宋体" w:cs="Times New Roman"/>
          <w:sz w:val="28"/>
          <w:szCs w:val="28"/>
          <w:highlight w:val="none"/>
        </w:rPr>
        <w:t>.3 乙方必须拒绝未经甲方批准的超出施工图或</w:t>
      </w:r>
      <w:r>
        <w:rPr>
          <w:rFonts w:hint="eastAsia" w:ascii="宋体" w:hAnsi="宋体" w:cs="Times New Roman"/>
          <w:sz w:val="28"/>
          <w:szCs w:val="28"/>
          <w:highlight w:val="none"/>
        </w:rPr>
        <w:t>招标控制价清单</w:t>
      </w:r>
      <w:r>
        <w:rPr>
          <w:rFonts w:ascii="宋体" w:hAnsi="宋体" w:cs="Times New Roman"/>
          <w:sz w:val="28"/>
          <w:szCs w:val="28"/>
          <w:highlight w:val="none"/>
        </w:rPr>
        <w:t>外的增加工程（项目），否则，甲方将拒绝支付该增加工程（项目）的相应价款。</w:t>
      </w:r>
    </w:p>
    <w:p w14:paraId="46E07B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材料设备供应</w:t>
      </w:r>
    </w:p>
    <w:p w14:paraId="09F6058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 甲方供应材料设备</w:t>
      </w:r>
    </w:p>
    <w:p w14:paraId="10E25F4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7.1.1 甲方</w:t>
      </w:r>
      <w:r>
        <w:rPr>
          <w:rFonts w:hint="eastAsia" w:ascii="宋体" w:hAnsi="宋体" w:cs="Times New Roman"/>
          <w:sz w:val="28"/>
          <w:szCs w:val="28"/>
          <w:highlight w:val="none"/>
        </w:rPr>
        <w:t>提供充电</w:t>
      </w:r>
      <w:r>
        <w:rPr>
          <w:rFonts w:ascii="宋体" w:hAnsi="宋体" w:cs="Times New Roman"/>
          <w:sz w:val="28"/>
          <w:szCs w:val="28"/>
          <w:highlight w:val="none"/>
        </w:rPr>
        <w:t>设备，并向乙方提供产品合格证明，对</w:t>
      </w:r>
      <w:r>
        <w:rPr>
          <w:rFonts w:hint="eastAsia" w:ascii="宋体" w:hAnsi="宋体" w:cs="Times New Roman"/>
          <w:sz w:val="28"/>
          <w:szCs w:val="28"/>
          <w:highlight w:val="none"/>
        </w:rPr>
        <w:t>充电设备</w:t>
      </w:r>
      <w:r>
        <w:rPr>
          <w:rFonts w:ascii="宋体" w:hAnsi="宋体" w:cs="Times New Roman"/>
          <w:sz w:val="28"/>
          <w:szCs w:val="28"/>
          <w:highlight w:val="none"/>
        </w:rPr>
        <w:t>的质量负责。</w:t>
      </w:r>
    </w:p>
    <w:p w14:paraId="08E0130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7.1.2 甲方提供的设备</w:t>
      </w:r>
      <w:r>
        <w:rPr>
          <w:rFonts w:hint="eastAsia" w:ascii="宋体" w:hAnsi="宋体" w:cs="Times New Roman"/>
          <w:sz w:val="28"/>
          <w:szCs w:val="28"/>
          <w:highlight w:val="none"/>
        </w:rPr>
        <w:t>、材料</w:t>
      </w:r>
      <w:r>
        <w:rPr>
          <w:rFonts w:ascii="宋体" w:hAnsi="宋体" w:cs="Times New Roman"/>
          <w:sz w:val="28"/>
          <w:szCs w:val="28"/>
          <w:highlight w:val="none"/>
        </w:rPr>
        <w:t>到货后24小时内，由甲方或甲方委托的监理单位与乙方共同清点，并由乙方负责</w:t>
      </w:r>
      <w:r>
        <w:rPr>
          <w:rFonts w:hint="eastAsia" w:ascii="宋体" w:hAnsi="宋体" w:cs="Times New Roman"/>
          <w:sz w:val="28"/>
          <w:szCs w:val="28"/>
          <w:highlight w:val="none"/>
        </w:rPr>
        <w:t>卸货安装</w:t>
      </w:r>
      <w:r>
        <w:rPr>
          <w:rFonts w:ascii="宋体" w:hAnsi="宋体" w:cs="Times New Roman"/>
          <w:sz w:val="28"/>
          <w:szCs w:val="28"/>
          <w:highlight w:val="none"/>
        </w:rPr>
        <w:t>保管。因乙方原因发生毁损、丢失，由乙方负责赔偿。</w:t>
      </w:r>
    </w:p>
    <w:p w14:paraId="5899448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7.1.3 甲方供应的设备与</w:t>
      </w:r>
      <w:r>
        <w:rPr>
          <w:rFonts w:hint="eastAsia" w:ascii="宋体" w:hAnsi="宋体" w:cs="Times New Roman"/>
          <w:sz w:val="28"/>
          <w:szCs w:val="28"/>
          <w:highlight w:val="none"/>
        </w:rPr>
        <w:t>施工图纸不符</w:t>
      </w:r>
      <w:r>
        <w:rPr>
          <w:rFonts w:ascii="宋体" w:hAnsi="宋体" w:cs="Times New Roman"/>
          <w:sz w:val="28"/>
          <w:szCs w:val="28"/>
          <w:highlight w:val="none"/>
        </w:rPr>
        <w:t>时，乙方应在使用前向甲方提出，甲方负责解决，造成工期延误的，乙方有权要求工期顺延</w:t>
      </w:r>
      <w:r>
        <w:rPr>
          <w:rFonts w:hint="eastAsia" w:ascii="宋体" w:hAnsi="宋体" w:cs="Times New Roman"/>
          <w:sz w:val="28"/>
          <w:szCs w:val="28"/>
          <w:highlight w:val="none"/>
        </w:rPr>
        <w:t>，并遵守5.2.1的约定</w:t>
      </w:r>
      <w:r>
        <w:rPr>
          <w:rFonts w:ascii="宋体" w:hAnsi="宋体" w:cs="Times New Roman"/>
          <w:sz w:val="28"/>
          <w:szCs w:val="28"/>
          <w:highlight w:val="none"/>
        </w:rPr>
        <w:t>。</w:t>
      </w:r>
    </w:p>
    <w:p w14:paraId="69AF0E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7.1.4 甲方供应的设备使用前，由乙方负责检验或试验的，检验或试验费用由甲方承担。</w:t>
      </w:r>
    </w:p>
    <w:p w14:paraId="09F7EB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 乙方采购材料设备</w:t>
      </w:r>
    </w:p>
    <w:p w14:paraId="4EE7EC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7.2.1 除合同另有规定外，为完成本合同各项工作所需的材料和按合同规定由乙方提供的工程设备，均由乙方负责采购、验收、运输和保管。</w:t>
      </w:r>
    </w:p>
    <w:p w14:paraId="7B9B27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2</w:t>
      </w:r>
      <w:r>
        <w:rPr>
          <w:rFonts w:ascii="宋体" w:hAnsi="宋体" w:cs="Times New Roman"/>
          <w:sz w:val="28"/>
          <w:szCs w:val="28"/>
          <w:highlight w:val="none"/>
        </w:rPr>
        <w:t xml:space="preserve"> 乙方采购材料设备，应按图纸要求和国家相关标准采购，并要求“三证齐全”，对材料设备质量负责。</w:t>
      </w:r>
    </w:p>
    <w:p w14:paraId="6F9700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7.2.</w:t>
      </w:r>
      <w:r>
        <w:rPr>
          <w:rFonts w:hint="eastAsia" w:ascii="宋体" w:hAnsi="宋体" w:cs="Times New Roman"/>
          <w:sz w:val="28"/>
          <w:szCs w:val="28"/>
          <w:highlight w:val="none"/>
        </w:rPr>
        <w:t>3</w:t>
      </w:r>
      <w:r>
        <w:rPr>
          <w:rFonts w:ascii="宋体" w:hAnsi="宋体" w:cs="Times New Roman"/>
          <w:sz w:val="28"/>
          <w:szCs w:val="28"/>
          <w:highlight w:val="none"/>
        </w:rPr>
        <w:t xml:space="preserve"> 乙方采购的材料设备与图纸或质量标准要求不符时，乙方应按甲方要求的时间运出施工场地，重新采购符合要求的产品，并承担由此发生的一切费用，因此延误的工期不予顺延。</w:t>
      </w:r>
    </w:p>
    <w:p w14:paraId="14F1D2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 乙方材料和工程设备的管理</w:t>
      </w:r>
    </w:p>
    <w:p w14:paraId="03D100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7.3.1 乙方设备应及时进入工地</w:t>
      </w:r>
    </w:p>
    <w:p w14:paraId="09887A2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合同规定的乙方设备应按合同进度计划进入工地，并需经甲方确认核查合格后投入使用，若乙方需更换合同规定的乙方设备时，须经甲方</w:t>
      </w:r>
      <w:r>
        <w:rPr>
          <w:rFonts w:hint="eastAsia" w:ascii="宋体" w:hAnsi="宋体" w:cs="Times New Roman"/>
          <w:sz w:val="28"/>
          <w:szCs w:val="28"/>
          <w:highlight w:val="none"/>
        </w:rPr>
        <w:t>书面</w:t>
      </w:r>
      <w:r>
        <w:rPr>
          <w:rFonts w:ascii="宋体" w:hAnsi="宋体" w:cs="Times New Roman"/>
          <w:sz w:val="28"/>
          <w:szCs w:val="28"/>
          <w:highlight w:val="none"/>
        </w:rPr>
        <w:t>批准。</w:t>
      </w:r>
    </w:p>
    <w:p w14:paraId="778818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7.3.2 乙方的材料和设备专用于本合同工程</w:t>
      </w:r>
    </w:p>
    <w:p w14:paraId="1EC42E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乙方运入工地的所有材料和设备应专用于本合同工程。</w:t>
      </w:r>
    </w:p>
    <w:p w14:paraId="5E5F951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乙方除在工地内转移这些材料和设备外，未经甲方书面同意，不得将上述材料和设备中的任何部分运出工地。但乙方从事运送的人员和外出接运货物的车辆不要求办理甲方书面同意的手续。</w:t>
      </w:r>
    </w:p>
    <w:p w14:paraId="13A563F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乙方在征得甲方书面同意后，可以按不同施工阶段的计划撤走其属于自己的闲置设备。</w:t>
      </w:r>
    </w:p>
    <w:p w14:paraId="3E9BAD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 材料和工程设备的检查和检验</w:t>
      </w:r>
    </w:p>
    <w:p w14:paraId="0AD00C0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7.4.1 材料和工程设备的检验和交货验收</w:t>
      </w:r>
    </w:p>
    <w:p w14:paraId="5D9DA4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乙方负责采购的材料和工程设备，乙方应通知甲方</w:t>
      </w:r>
      <w:r>
        <w:rPr>
          <w:rFonts w:hint="eastAsia" w:ascii="宋体" w:hAnsi="宋体" w:cs="Times New Roman"/>
          <w:sz w:val="28"/>
          <w:szCs w:val="28"/>
          <w:highlight w:val="none"/>
        </w:rPr>
        <w:t>及监理单位</w:t>
      </w:r>
      <w:r>
        <w:rPr>
          <w:rFonts w:ascii="宋体" w:hAnsi="宋体" w:cs="Times New Roman"/>
          <w:sz w:val="28"/>
          <w:szCs w:val="28"/>
          <w:highlight w:val="none"/>
        </w:rPr>
        <w:t>共同进行检验和交货验收，验收时应同时查验材质证明和产品合格证书。乙方还应按国家规范的规定进行材料的抽样检验和工程设备的检验测试，并将检验结果提交甲方，其所需费用由乙方承担。甲方应按合同规定参加交货验收，乙方应为甲方进行交货验收的监督检查提供一切方便。甲方参加交货验收不免除乙方在检验和交货验收中应负的责任。</w:t>
      </w:r>
    </w:p>
    <w:p w14:paraId="0885B9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甲方负责采购的工程设备，应由甲方和乙方</w:t>
      </w:r>
      <w:r>
        <w:rPr>
          <w:rFonts w:hint="eastAsia" w:ascii="宋体" w:hAnsi="宋体" w:cs="Times New Roman"/>
          <w:sz w:val="28"/>
          <w:szCs w:val="28"/>
          <w:highlight w:val="none"/>
        </w:rPr>
        <w:t>及监理单位</w:t>
      </w:r>
      <w:r>
        <w:rPr>
          <w:rFonts w:ascii="宋体" w:hAnsi="宋体" w:cs="Times New Roman"/>
          <w:sz w:val="28"/>
          <w:szCs w:val="28"/>
          <w:highlight w:val="none"/>
        </w:rPr>
        <w:t>在甲方指定的交货地点共同进行交货验收，并由甲方正式移交给乙方。在验收时，乙方应按甲方指示进行工程设备的检验测试，并将检验结果提交甲方。工程设备安装后，若发现工程设备存在缺陷时，应由甲方与乙方共同查找原因，如属设备制造不良引起的缺陷</w:t>
      </w:r>
      <w:r>
        <w:rPr>
          <w:rFonts w:hint="eastAsia" w:ascii="宋体" w:hAnsi="宋体" w:cs="Times New Roman"/>
          <w:sz w:val="28"/>
          <w:szCs w:val="28"/>
          <w:highlight w:val="none"/>
        </w:rPr>
        <w:t>可向供货方要求承担责任</w:t>
      </w:r>
      <w:r>
        <w:rPr>
          <w:rFonts w:ascii="宋体" w:hAnsi="宋体" w:cs="Times New Roman"/>
          <w:sz w:val="28"/>
          <w:szCs w:val="28"/>
          <w:highlight w:val="none"/>
        </w:rPr>
        <w:t>；如属乙方运输和保管不慎或安装不良引起的损坏应由乙方负责。</w:t>
      </w:r>
    </w:p>
    <w:p w14:paraId="0ACC62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7.4.2 未按规定进行检查和检验</w:t>
      </w:r>
    </w:p>
    <w:p w14:paraId="48B709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乙方未按国家规范和合同规定对材料和工程设备进行检查和检验，甲方有权指示乙方补作检查和检验，乙方应遵照执行，并应承担所需的检查和检验费用</w:t>
      </w:r>
      <w:r>
        <w:rPr>
          <w:rFonts w:hint="eastAsia" w:ascii="宋体" w:hAnsi="宋体" w:cs="Times New Roman"/>
          <w:sz w:val="28"/>
          <w:szCs w:val="28"/>
          <w:highlight w:val="none"/>
        </w:rPr>
        <w:t>、</w:t>
      </w:r>
      <w:r>
        <w:rPr>
          <w:rFonts w:ascii="宋体" w:hAnsi="宋体" w:cs="Times New Roman"/>
          <w:sz w:val="28"/>
          <w:szCs w:val="28"/>
          <w:highlight w:val="none"/>
        </w:rPr>
        <w:t>工期延误责任</w:t>
      </w:r>
      <w:r>
        <w:rPr>
          <w:rFonts w:hint="eastAsia" w:ascii="宋体" w:hAnsi="宋体" w:cs="Times New Roman"/>
          <w:sz w:val="28"/>
          <w:szCs w:val="28"/>
          <w:highlight w:val="none"/>
        </w:rPr>
        <w:t>以及</w:t>
      </w:r>
      <w:r>
        <w:rPr>
          <w:rFonts w:hint="eastAsia" w:ascii="宋体" w:hAnsi="宋体" w:cs="Times New Roman"/>
          <w:sz w:val="28"/>
          <w:szCs w:val="28"/>
          <w:highlight w:val="none"/>
          <w:lang w:val="en-US" w:eastAsia="zh-CN"/>
        </w:rPr>
        <w:t>乙方采购的</w:t>
      </w:r>
      <w:r>
        <w:rPr>
          <w:rFonts w:hint="eastAsia" w:ascii="宋体" w:hAnsi="宋体" w:cs="Times New Roman"/>
          <w:sz w:val="28"/>
          <w:szCs w:val="28"/>
          <w:highlight w:val="none"/>
        </w:rPr>
        <w:t>设备材料质量问题或不符合约定引起的</w:t>
      </w:r>
      <w:r>
        <w:rPr>
          <w:rFonts w:hint="eastAsia" w:ascii="宋体" w:hAnsi="宋体" w:cs="Times New Roman"/>
          <w:sz w:val="28"/>
          <w:szCs w:val="28"/>
          <w:highlight w:val="none"/>
          <w:lang w:val="en-US" w:eastAsia="zh-CN"/>
        </w:rPr>
        <w:t>相应</w:t>
      </w:r>
      <w:r>
        <w:rPr>
          <w:rFonts w:hint="eastAsia" w:ascii="宋体" w:hAnsi="宋体" w:cs="Times New Roman"/>
          <w:sz w:val="28"/>
          <w:szCs w:val="28"/>
          <w:highlight w:val="none"/>
        </w:rPr>
        <w:t>损失</w:t>
      </w:r>
      <w:r>
        <w:rPr>
          <w:rFonts w:ascii="宋体" w:hAnsi="宋体" w:cs="Times New Roman"/>
          <w:sz w:val="28"/>
          <w:szCs w:val="28"/>
          <w:highlight w:val="none"/>
        </w:rPr>
        <w:t>。</w:t>
      </w:r>
    </w:p>
    <w:p w14:paraId="5962797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7.4.3 不合格的材料和工程设备</w:t>
      </w:r>
      <w:r>
        <w:rPr>
          <w:rFonts w:hint="eastAsia" w:ascii="宋体" w:hAnsi="宋体" w:cs="Times New Roman"/>
          <w:sz w:val="28"/>
          <w:szCs w:val="28"/>
          <w:highlight w:val="none"/>
        </w:rPr>
        <w:t xml:space="preserve"> </w:t>
      </w:r>
    </w:p>
    <w:p w14:paraId="68D716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乙方使用了不合格的材料或工程设备，甲方有权按第7.5.2款规定指示乙方予以处理，由此造成的损失由乙方负责。</w:t>
      </w:r>
    </w:p>
    <w:p w14:paraId="232F15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的检查或检验结果表明乙方提供的材料或工程设备不符合合同要求时，甲方可以拒绝验收，并立即通知乙方，乙方除应立即停止使用外，还应与甲方共同研究补救措施，由此增加的费用和工期延误责任由乙方承担。</w:t>
      </w:r>
    </w:p>
    <w:p w14:paraId="77C48C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若按第7.4.1款(2)项规定的检查或检验结果表明，甲方提供的工程设备不符合合同要求，乙方有权拒绝接收，并可要求甲方予以更换</w:t>
      </w:r>
      <w:r>
        <w:rPr>
          <w:rFonts w:hint="eastAsia" w:ascii="宋体" w:hAnsi="宋体" w:cs="Times New Roman"/>
          <w:sz w:val="28"/>
          <w:szCs w:val="28"/>
          <w:highlight w:val="none"/>
          <w:lang w:eastAsia="zh-CN"/>
        </w:rPr>
        <w:t>，</w:t>
      </w:r>
      <w:r>
        <w:rPr>
          <w:rFonts w:hint="eastAsia" w:ascii="宋体" w:hAnsi="宋体" w:cs="Times New Roman"/>
          <w:sz w:val="28"/>
          <w:szCs w:val="28"/>
          <w:highlight w:val="none"/>
        </w:rPr>
        <w:t>由此增加的费用和（或）延误的工期，由甲方承担</w:t>
      </w:r>
      <w:r>
        <w:rPr>
          <w:rFonts w:ascii="宋体" w:hAnsi="宋体" w:cs="Times New Roman"/>
          <w:sz w:val="28"/>
          <w:szCs w:val="28"/>
          <w:highlight w:val="none"/>
        </w:rPr>
        <w:t>。</w:t>
      </w:r>
    </w:p>
    <w:p w14:paraId="462FF5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7.4.4 额外检验和重新检验</w:t>
      </w:r>
    </w:p>
    <w:p w14:paraId="4F16A0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若甲方要求乙方对某项材料和工程设备进行的检查和检验超出国家规范和本合同的规定，甲方可以指示乙方增加额外检验，乙方应遵照执行</w:t>
      </w:r>
      <w:r>
        <w:rPr>
          <w:rFonts w:hint="eastAsia" w:ascii="宋体" w:hAnsi="宋体" w:cs="Times New Roman"/>
          <w:sz w:val="28"/>
          <w:szCs w:val="28"/>
          <w:highlight w:val="none"/>
        </w:rPr>
        <w:t>，额外检验的费用由甲方承担</w:t>
      </w:r>
      <w:r>
        <w:rPr>
          <w:rFonts w:ascii="宋体" w:hAnsi="宋体" w:cs="Times New Roman"/>
          <w:sz w:val="28"/>
          <w:szCs w:val="28"/>
          <w:highlight w:val="none"/>
        </w:rPr>
        <w:t>。</w:t>
      </w:r>
    </w:p>
    <w:p w14:paraId="547F74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不论何种原因，若甲方对以往的检验结果有疑问时，可以指示乙方重新检验，乙方不得拒绝。若重新检验结果证明</w:t>
      </w:r>
      <w:r>
        <w:rPr>
          <w:rFonts w:hint="eastAsia" w:ascii="宋体" w:hAnsi="宋体" w:cs="Times New Roman"/>
          <w:sz w:val="28"/>
          <w:szCs w:val="28"/>
          <w:highlight w:val="none"/>
          <w:lang w:val="en-US" w:eastAsia="zh-CN"/>
        </w:rPr>
        <w:t>乙方采购的</w:t>
      </w:r>
      <w:r>
        <w:rPr>
          <w:rFonts w:ascii="宋体" w:hAnsi="宋体" w:cs="Times New Roman"/>
          <w:sz w:val="28"/>
          <w:szCs w:val="28"/>
          <w:highlight w:val="none"/>
        </w:rPr>
        <w:t>材料和工程设备不符合合同要求，则应由乙方承担重新检验的费用和工期延误责任；若重新检验结果证明这些材料和工程设备符合合同要求，则应由甲方承担重新检验的费用和工期延误责任。</w:t>
      </w:r>
    </w:p>
    <w:p w14:paraId="6F6361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 不合格的工程、材料和工程设备的处理</w:t>
      </w:r>
    </w:p>
    <w:p w14:paraId="7A74266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7.5.1 禁止使用不合格的材料和工程设备</w:t>
      </w:r>
    </w:p>
    <w:p w14:paraId="4B7CCD1C">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工程使用的一切材料和工程设备，均应满足施工图纸规定的等级、质量标准和技术特征。其中乙方供应的</w:t>
      </w:r>
      <w:r>
        <w:rPr>
          <w:rFonts w:hint="eastAsia" w:ascii="宋体" w:hAnsi="宋体" w:cs="Times New Roman"/>
          <w:sz w:val="28"/>
          <w:szCs w:val="28"/>
          <w:highlight w:val="none"/>
        </w:rPr>
        <w:t>电</w:t>
      </w:r>
      <w:r>
        <w:rPr>
          <w:rFonts w:hint="eastAsia" w:ascii="宋体" w:hAnsi="宋体" w:cs="Times New Roman"/>
          <w:sz w:val="28"/>
          <w:szCs w:val="28"/>
          <w:highlight w:val="none"/>
          <w:lang w:bidi="ar"/>
        </w:rPr>
        <w:t>缆必须符合国家相应的技术指标，</w:t>
      </w:r>
      <w:r>
        <w:rPr>
          <w:rFonts w:ascii="宋体" w:hAnsi="宋体" w:cs="Times New Roman"/>
          <w:sz w:val="28"/>
          <w:szCs w:val="28"/>
          <w:highlight w:val="none"/>
        </w:rPr>
        <w:t>须具有“中国强制性产品认证”即“CCC证明”和完整的出厂检测合格报告、出厂检测合格证</w:t>
      </w:r>
      <w:r>
        <w:rPr>
          <w:rFonts w:hint="eastAsia" w:ascii="宋体" w:hAnsi="宋体" w:cs="Times New Roman"/>
          <w:sz w:val="28"/>
          <w:szCs w:val="28"/>
          <w:highlight w:val="none"/>
        </w:rPr>
        <w:t>和产品质量证书等</w:t>
      </w:r>
      <w:r>
        <w:rPr>
          <w:rFonts w:ascii="宋体" w:hAnsi="宋体" w:cs="Times New Roman"/>
          <w:sz w:val="28"/>
          <w:szCs w:val="28"/>
          <w:highlight w:val="none"/>
        </w:rPr>
        <w:t>。甲方在工程质量的检查和检验中发现乙方使用了不合格的材料和工程设备时，可以随时发出指示，要求乙方立即改正，并禁止在工程中继续使用这些不合格的材料和工程设备。</w:t>
      </w:r>
    </w:p>
    <w:p w14:paraId="155C3C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7.5.2 不合格的工程、材料和工程设备的处理</w:t>
      </w:r>
    </w:p>
    <w:p w14:paraId="056781C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使用了不合格材料和工程设备造成了损害，甲方可以随时发出指示，要求乙方立即采取措施进行补救，直至彻底清除工程的不合格部位以及不合格的材料或工程设备，由此增加的费用和工期延误责任由乙方承担，若上述不合格的材料或工程设备系由甲方提供的，应由甲方负责更换，并承担由此增加的费用和工期延误责任。</w:t>
      </w:r>
    </w:p>
    <w:p w14:paraId="667A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若乙方无故拖延或拒绝执行甲方的上述指示，则甲方有权委托其他单位执行该项指示，由此增加的费用以及工期延误责任，由乙方承担。</w:t>
      </w:r>
    </w:p>
    <w:p w14:paraId="2DEFAA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7.6 乙方旧施工设备的管理</w:t>
      </w:r>
    </w:p>
    <w:p w14:paraId="56F606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的旧施工设备进入工地前必须按有关规定进行年检和定期检修，并应由具有设备检定资格的机构出具检修合格证或经甲方检查后才准进入工地。乙方还应在旧施工设备进入工地前提交主要设备的使用和检修记录，并应配置足够的备品备件以保证旧施工设备的正常运行。</w:t>
      </w:r>
    </w:p>
    <w:p w14:paraId="7DF97B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7.7 乙方租用的施工设备</w:t>
      </w:r>
    </w:p>
    <w:p w14:paraId="386967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乙方从其它人处租赁施工设备时，则应在签订的租赁协议中明确规定若在协议有效期内发生乙方违约而解除合同时，甲方或甲方邀请承包本合同的其它</w:t>
      </w:r>
      <w:r>
        <w:rPr>
          <w:rFonts w:hint="eastAsia" w:ascii="宋体" w:hAnsi="宋体" w:cs="Times New Roman"/>
          <w:sz w:val="28"/>
          <w:szCs w:val="28"/>
          <w:highlight w:val="none"/>
        </w:rPr>
        <w:t>合同</w:t>
      </w:r>
      <w:r>
        <w:rPr>
          <w:rFonts w:ascii="宋体" w:hAnsi="宋体" w:cs="Times New Roman"/>
          <w:sz w:val="28"/>
          <w:szCs w:val="28"/>
          <w:highlight w:val="none"/>
        </w:rPr>
        <w:t>方，可以相同的条件取得该施工设备的使用权。</w:t>
      </w:r>
    </w:p>
    <w:p w14:paraId="0CC220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7.8 甲方有权要求乙方增加和更换施工设备</w:t>
      </w:r>
    </w:p>
    <w:p w14:paraId="7B5090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甲方一旦发现乙方使用的施工设备影响工程进度或质量时，有权要求乙方增加或更换施工设备，乙方应予及时增加或更换，由此增加的费用和工期延误责任由乙方承担。</w:t>
      </w:r>
    </w:p>
    <w:p w14:paraId="2A9078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7.9 乙方需要使用代用材料时，须经甲方</w:t>
      </w:r>
      <w:r>
        <w:rPr>
          <w:rFonts w:hint="eastAsia" w:ascii="宋体" w:hAnsi="宋体" w:cs="Times New Roman"/>
          <w:sz w:val="28"/>
          <w:szCs w:val="28"/>
          <w:highlight w:val="none"/>
        </w:rPr>
        <w:t>代表</w:t>
      </w:r>
      <w:r>
        <w:rPr>
          <w:rFonts w:ascii="宋体" w:hAnsi="宋体" w:cs="Times New Roman"/>
          <w:sz w:val="28"/>
          <w:szCs w:val="28"/>
          <w:highlight w:val="none"/>
        </w:rPr>
        <w:t>认可后才能使用，由此增减的合同价款双方以书面形式议定</w:t>
      </w:r>
      <w:r>
        <w:rPr>
          <w:rFonts w:hint="eastAsia" w:ascii="宋体" w:hAnsi="宋体" w:cs="Times New Roman"/>
          <w:sz w:val="28"/>
          <w:szCs w:val="28"/>
          <w:highlight w:val="none"/>
        </w:rPr>
        <w:t>，若是乙方原因导致须使用代用材料，由乙方自行承担材料费用</w:t>
      </w:r>
      <w:r>
        <w:rPr>
          <w:rFonts w:ascii="宋体" w:hAnsi="宋体" w:cs="Times New Roman"/>
          <w:sz w:val="28"/>
          <w:szCs w:val="28"/>
          <w:highlight w:val="none"/>
        </w:rPr>
        <w:t>。</w:t>
      </w:r>
    </w:p>
    <w:p w14:paraId="202A24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双方权利义务</w:t>
      </w:r>
    </w:p>
    <w:p w14:paraId="44064D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除本合同其它条款约定以外，双方具有以下权利义务：</w:t>
      </w:r>
    </w:p>
    <w:p w14:paraId="3AD9A7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 甲方权利和义务</w:t>
      </w:r>
    </w:p>
    <w:p w14:paraId="54DF94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在施工过程中，甲方有权派代表或委托代理人随时对工程质量、进度、安全文明施工等方面进行监督检查，并有权对乙方违反规定的情形扣减违约金。</w:t>
      </w:r>
      <w:r>
        <w:rPr>
          <w:rFonts w:hint="eastAsia" w:ascii="宋体" w:hAnsi="宋体" w:cs="Times New Roman"/>
          <w:sz w:val="28"/>
          <w:szCs w:val="28"/>
          <w:highlight w:val="none"/>
        </w:rPr>
        <w:t>甲方代表为：</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p>
    <w:p w14:paraId="1D1AE9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1DBD50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甲方应在其实施本合同的全部工作中遵守与本合同有关的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和规章，并应承担由于其自身违反上述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和规章的责任。</w:t>
      </w:r>
    </w:p>
    <w:p w14:paraId="5333F4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8.1.2 发布开工通知</w:t>
      </w:r>
    </w:p>
    <w:p w14:paraId="2B425F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甲方应按合同规定向乙方发布开工通知。</w:t>
      </w:r>
    </w:p>
    <w:p w14:paraId="25EF34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8.1.3 提供施工用地</w:t>
      </w:r>
    </w:p>
    <w:p w14:paraId="36D74E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甲方协助</w:t>
      </w:r>
      <w:r>
        <w:rPr>
          <w:rFonts w:hint="eastAsia" w:ascii="宋体" w:hAnsi="宋体" w:cs="Times New Roman"/>
          <w:sz w:val="28"/>
          <w:szCs w:val="28"/>
          <w:highlight w:val="none"/>
          <w:lang w:val="en-US" w:eastAsia="zh-CN"/>
        </w:rPr>
        <w:t>乙方</w:t>
      </w:r>
      <w:r>
        <w:rPr>
          <w:rFonts w:ascii="宋体" w:hAnsi="宋体" w:cs="Times New Roman"/>
          <w:sz w:val="28"/>
          <w:szCs w:val="28"/>
          <w:highlight w:val="none"/>
        </w:rPr>
        <w:t>办理有关用地手续。</w:t>
      </w:r>
    </w:p>
    <w:p w14:paraId="55F390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8.1.4 提供部分施工准备工程</w:t>
      </w:r>
    </w:p>
    <w:p w14:paraId="3B79F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甲方应按合同规定，完成由甲方承担的施工准备工程，并按合同规定提供乙方使用。</w:t>
      </w:r>
    </w:p>
    <w:p w14:paraId="53401D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8.1.5 提供测量基准</w:t>
      </w:r>
    </w:p>
    <w:p w14:paraId="1659679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lang w:val="en-US" w:eastAsia="zh-CN"/>
        </w:rPr>
        <w:t>8</w:t>
      </w:r>
      <w:r>
        <w:rPr>
          <w:rFonts w:ascii="宋体" w:hAnsi="宋体" w:cs="Times New Roman"/>
          <w:sz w:val="28"/>
          <w:szCs w:val="28"/>
          <w:highlight w:val="none"/>
        </w:rPr>
        <w:t>.1款的有关规定，向乙方提供现场测量基准点、基准线和水准点及其有关资料。</w:t>
      </w:r>
    </w:p>
    <w:p w14:paraId="540A168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8.1.6 提供已有的水文和地下管网资料</w:t>
      </w:r>
    </w:p>
    <w:p w14:paraId="278DAB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甲方应协助乙方收集已有的与本合同工程有关的水文和地下管网、构筑物资料，但不对乙方使用上述数据以及所作的分析、判断和推论负责。</w:t>
      </w:r>
    </w:p>
    <w:p w14:paraId="39D1B0B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7</w:t>
      </w:r>
      <w:r>
        <w:rPr>
          <w:rFonts w:ascii="宋体" w:hAnsi="宋体" w:cs="Times New Roman"/>
          <w:sz w:val="28"/>
          <w:szCs w:val="28"/>
          <w:highlight w:val="none"/>
        </w:rPr>
        <w:t xml:space="preserve"> 及时提供图纸</w:t>
      </w:r>
    </w:p>
    <w:p w14:paraId="5287D42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甲方应在合同规定的期限内向乙方提供图纸。</w:t>
      </w:r>
    </w:p>
    <w:p w14:paraId="6F9A3A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8</w:t>
      </w:r>
      <w:r>
        <w:rPr>
          <w:rFonts w:ascii="宋体" w:hAnsi="宋体" w:cs="Times New Roman"/>
          <w:sz w:val="28"/>
          <w:szCs w:val="28"/>
          <w:highlight w:val="none"/>
        </w:rPr>
        <w:t xml:space="preserve"> 支付合同价款</w:t>
      </w:r>
    </w:p>
    <w:p w14:paraId="7B8B7E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甲方应按第6条的规定支付合同价款。</w:t>
      </w:r>
    </w:p>
    <w:p w14:paraId="7C8EC2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w:t>
      </w:r>
      <w:r>
        <w:rPr>
          <w:rFonts w:hint="eastAsia" w:ascii="宋体" w:hAnsi="宋体" w:cs="Times New Roman"/>
          <w:sz w:val="28"/>
          <w:szCs w:val="28"/>
          <w:highlight w:val="none"/>
        </w:rPr>
        <w:t>9</w:t>
      </w:r>
      <w:r>
        <w:rPr>
          <w:rFonts w:ascii="宋体" w:hAnsi="宋体" w:cs="Times New Roman"/>
          <w:sz w:val="28"/>
          <w:szCs w:val="28"/>
          <w:highlight w:val="none"/>
        </w:rPr>
        <w:t xml:space="preserve"> 环境保护</w:t>
      </w:r>
    </w:p>
    <w:p w14:paraId="6EAEEFA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甲方有权按环境保护的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和规章的有关规定审查乙方按第11.2条规定所采取的环境保护措施，并监督其实施。</w:t>
      </w:r>
    </w:p>
    <w:p w14:paraId="6393F7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0</w:t>
      </w:r>
      <w:r>
        <w:rPr>
          <w:rFonts w:ascii="宋体" w:hAnsi="宋体" w:cs="Times New Roman"/>
          <w:sz w:val="28"/>
          <w:szCs w:val="28"/>
          <w:highlight w:val="none"/>
        </w:rPr>
        <w:t xml:space="preserve"> 组织工程验收</w:t>
      </w:r>
    </w:p>
    <w:p w14:paraId="44A541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甲方应按第10.</w:t>
      </w:r>
      <w:r>
        <w:rPr>
          <w:rFonts w:hint="eastAsia" w:ascii="宋体" w:hAnsi="宋体" w:cs="Times New Roman"/>
          <w:sz w:val="28"/>
          <w:szCs w:val="28"/>
          <w:highlight w:val="none"/>
        </w:rPr>
        <w:t>11</w:t>
      </w:r>
      <w:r>
        <w:rPr>
          <w:rFonts w:ascii="宋体" w:hAnsi="宋体" w:cs="Times New Roman"/>
          <w:sz w:val="28"/>
          <w:szCs w:val="28"/>
          <w:highlight w:val="none"/>
        </w:rPr>
        <w:t>条的规定主持和组织工程的竣工验收。</w:t>
      </w:r>
    </w:p>
    <w:p w14:paraId="5DAE0E3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8.1.1</w:t>
      </w:r>
      <w:r>
        <w:rPr>
          <w:rFonts w:hint="eastAsia" w:ascii="宋体" w:hAnsi="宋体" w:cs="Times New Roman"/>
          <w:sz w:val="28"/>
          <w:szCs w:val="28"/>
          <w:highlight w:val="none"/>
        </w:rPr>
        <w:t>1</w:t>
      </w:r>
      <w:r>
        <w:rPr>
          <w:rFonts w:ascii="宋体" w:hAnsi="宋体" w:cs="Times New Roman"/>
          <w:sz w:val="28"/>
          <w:szCs w:val="28"/>
          <w:highlight w:val="none"/>
        </w:rPr>
        <w:t xml:space="preserve"> 甲方有权监督乙方针对本工程</w:t>
      </w:r>
      <w:r>
        <w:rPr>
          <w:rFonts w:hint="eastAsia" w:ascii="宋体" w:hAnsi="宋体" w:cs="Times New Roman"/>
          <w:sz w:val="28"/>
          <w:szCs w:val="28"/>
          <w:highlight w:val="none"/>
          <w:lang w:val="en-US" w:eastAsia="zh-CN"/>
        </w:rPr>
        <w:t>劳务队伍和</w:t>
      </w:r>
      <w:r>
        <w:rPr>
          <w:rFonts w:ascii="宋体" w:hAnsi="宋体" w:cs="Times New Roman"/>
          <w:sz w:val="28"/>
          <w:szCs w:val="28"/>
          <w:highlight w:val="none"/>
        </w:rPr>
        <w:t>材料供应商的付款履约情况</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若发生因乙方未及时足额支付民工工资的讨薪事件，甲方按本合同约定处以乙方违约金，若乙方未及时处理讨薪事件给甲方的充电站正常运营造成影响甚至经济损失的，乙方应向甲方赔偿</w:t>
      </w:r>
      <w:r>
        <w:rPr>
          <w:rFonts w:ascii="宋体" w:hAnsi="宋体" w:cs="Times New Roman"/>
          <w:sz w:val="28"/>
          <w:szCs w:val="28"/>
          <w:highlight w:val="none"/>
        </w:rPr>
        <w:t>。</w:t>
      </w:r>
    </w:p>
    <w:p w14:paraId="5ADAAEE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 乙方权利和义务</w:t>
      </w:r>
    </w:p>
    <w:p w14:paraId="28D5CB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 遵守</w:t>
      </w:r>
      <w:r>
        <w:rPr>
          <w:rFonts w:hint="eastAsia" w:ascii="宋体" w:hAnsi="宋体" w:cs="Times New Roman"/>
          <w:sz w:val="28"/>
          <w:szCs w:val="28"/>
          <w:highlight w:val="none"/>
        </w:rPr>
        <w:t>法律法规</w:t>
      </w:r>
      <w:r>
        <w:rPr>
          <w:rFonts w:ascii="宋体" w:hAnsi="宋体" w:cs="Times New Roman"/>
          <w:sz w:val="28"/>
          <w:szCs w:val="28"/>
          <w:highlight w:val="none"/>
        </w:rPr>
        <w:t>和规章</w:t>
      </w:r>
    </w:p>
    <w:p w14:paraId="4CF992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乙方应在其负责的各项工作中遵守与本合同工程有关的</w:t>
      </w:r>
      <w:r>
        <w:rPr>
          <w:rFonts w:hint="eastAsia" w:ascii="宋体" w:hAnsi="宋体" w:cs="Times New Roman"/>
          <w:sz w:val="28"/>
          <w:szCs w:val="28"/>
          <w:highlight w:val="none"/>
        </w:rPr>
        <w:t>法律法规</w:t>
      </w:r>
      <w:r>
        <w:rPr>
          <w:rFonts w:ascii="宋体" w:hAnsi="宋体" w:cs="Times New Roman"/>
          <w:sz w:val="28"/>
          <w:szCs w:val="28"/>
          <w:highlight w:val="none"/>
        </w:rPr>
        <w:t>和规章，并保证甲方免于承担由于乙方违反上述</w:t>
      </w:r>
      <w:r>
        <w:rPr>
          <w:rFonts w:hint="eastAsia" w:ascii="宋体" w:hAnsi="宋体" w:cs="Times New Roman"/>
          <w:sz w:val="28"/>
          <w:szCs w:val="28"/>
          <w:highlight w:val="none"/>
        </w:rPr>
        <w:t>法律法规</w:t>
      </w:r>
      <w:r>
        <w:rPr>
          <w:rFonts w:ascii="宋体" w:hAnsi="宋体" w:cs="Times New Roman"/>
          <w:sz w:val="28"/>
          <w:szCs w:val="28"/>
          <w:highlight w:val="none"/>
        </w:rPr>
        <w:t>和规章的任何责任。</w:t>
      </w:r>
    </w:p>
    <w:p w14:paraId="5EFB406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 履约担保</w:t>
      </w:r>
    </w:p>
    <w:p w14:paraId="38FA41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 履约担保内容</w:t>
      </w:r>
    </w:p>
    <w:p w14:paraId="72E1EA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履约保证金</w:t>
      </w:r>
      <w:r>
        <w:rPr>
          <w:rFonts w:hint="eastAsia" w:ascii="宋体" w:hAnsi="宋体" w:cs="Times New Roman"/>
          <w:sz w:val="28"/>
          <w:szCs w:val="28"/>
          <w:highlight w:val="none"/>
        </w:rPr>
        <w:t>金额：人民币</w:t>
      </w:r>
      <w:r>
        <w:rPr>
          <w:rFonts w:hint="eastAsia" w:ascii="宋体" w:hAnsi="宋体" w:cs="Times New Roman"/>
          <w:sz w:val="28"/>
          <w:szCs w:val="28"/>
          <w:highlight w:val="none"/>
          <w:u w:val="single"/>
          <w:lang w:val="en-US" w:eastAsia="zh-CN"/>
        </w:rPr>
        <w:t xml:space="preserve"> 壹拾伍 </w:t>
      </w:r>
      <w:r>
        <w:rPr>
          <w:rFonts w:hint="eastAsia" w:ascii="宋体" w:hAnsi="宋体" w:cs="Times New Roman"/>
          <w:sz w:val="28"/>
          <w:szCs w:val="28"/>
          <w:highlight w:val="none"/>
        </w:rPr>
        <w:t>万元整（小写：</w:t>
      </w:r>
      <w:r>
        <w:rPr>
          <w:rFonts w:hint="eastAsia" w:ascii="宋体" w:hAnsi="宋体" w:cs="Times New Roman"/>
          <w:sz w:val="28"/>
          <w:szCs w:val="28"/>
          <w:highlight w:val="none"/>
          <w:u w:val="single"/>
          <w:lang w:val="en-US" w:eastAsia="zh-CN"/>
        </w:rPr>
        <w:t>150000.00</w:t>
      </w:r>
      <w:r>
        <w:rPr>
          <w:rFonts w:hint="eastAsia" w:ascii="宋体" w:hAnsi="宋体" w:cs="Times New Roman"/>
          <w:sz w:val="28"/>
          <w:szCs w:val="28"/>
          <w:highlight w:val="none"/>
        </w:rPr>
        <w:t>元）。</w:t>
      </w:r>
    </w:p>
    <w:p w14:paraId="587C57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履约担保的形式：其中现金占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ascii="宋体" w:hAnsi="宋体" w:cs="Times New Roman"/>
          <w:sz w:val="28"/>
          <w:szCs w:val="28"/>
          <w:highlight w:val="none"/>
        </w:rPr>
        <w:t>%，保函担保占</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rPr>
        <w:t xml:space="preserve"> </w:t>
      </w:r>
      <w:r>
        <w:rPr>
          <w:rFonts w:ascii="宋体" w:hAnsi="宋体" w:cs="Times New Roman"/>
          <w:sz w:val="28"/>
          <w:szCs w:val="28"/>
          <w:highlight w:val="none"/>
        </w:rPr>
        <w:t>%（现金担保必须通过乙方的基本账户以银行转账方式缴纳）</w:t>
      </w:r>
    </w:p>
    <w:p w14:paraId="4176FC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8.2.2.1.2 履约保证金缴纳时间</w:t>
      </w:r>
    </w:p>
    <w:p w14:paraId="292C9A5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应在收到</w:t>
      </w:r>
      <w:r>
        <w:rPr>
          <w:rFonts w:hint="eastAsia" w:ascii="宋体" w:hAnsi="宋体" w:cs="Times New Roman"/>
          <w:sz w:val="28"/>
          <w:szCs w:val="28"/>
          <w:highlight w:val="none"/>
        </w:rPr>
        <w:t>中选</w:t>
      </w:r>
      <w:r>
        <w:rPr>
          <w:rFonts w:ascii="宋体" w:hAnsi="宋体" w:cs="Times New Roman"/>
          <w:sz w:val="28"/>
          <w:szCs w:val="28"/>
          <w:highlight w:val="none"/>
        </w:rPr>
        <w:t>通知书</w:t>
      </w:r>
      <w:r>
        <w:rPr>
          <w:rFonts w:hint="eastAsia" w:ascii="宋体" w:hAnsi="宋体" w:cs="Times New Roman"/>
          <w:sz w:val="28"/>
          <w:szCs w:val="28"/>
          <w:highlight w:val="none"/>
        </w:rPr>
        <w:t>之后</w:t>
      </w:r>
      <w:r>
        <w:rPr>
          <w:rFonts w:ascii="宋体" w:hAnsi="宋体" w:cs="Times New Roman"/>
          <w:sz w:val="28"/>
          <w:szCs w:val="28"/>
          <w:highlight w:val="none"/>
        </w:rPr>
        <w:t>按照</w:t>
      </w:r>
      <w:r>
        <w:rPr>
          <w:rFonts w:hint="eastAsia" w:ascii="宋体" w:hAnsi="宋体" w:cs="Times New Roman"/>
          <w:sz w:val="28"/>
          <w:szCs w:val="28"/>
          <w:highlight w:val="none"/>
        </w:rPr>
        <w:t>比选文件</w:t>
      </w:r>
      <w:r>
        <w:rPr>
          <w:rFonts w:ascii="宋体" w:hAnsi="宋体" w:cs="Times New Roman"/>
          <w:sz w:val="28"/>
          <w:szCs w:val="28"/>
          <w:highlight w:val="none"/>
        </w:rPr>
        <w:t>中</w:t>
      </w:r>
      <w:r>
        <w:rPr>
          <w:rFonts w:hint="eastAsia" w:ascii="宋体" w:hAnsi="宋体" w:cs="Times New Roman"/>
          <w:sz w:val="28"/>
          <w:szCs w:val="28"/>
          <w:highlight w:val="none"/>
        </w:rPr>
        <w:t>比选申请人</w:t>
      </w:r>
      <w:r>
        <w:rPr>
          <w:rFonts w:ascii="宋体" w:hAnsi="宋体" w:cs="Times New Roman"/>
          <w:sz w:val="28"/>
          <w:szCs w:val="28"/>
          <w:highlight w:val="none"/>
        </w:rPr>
        <w:t>须知前附表规定的方式提交履约担保。</w:t>
      </w:r>
    </w:p>
    <w:p w14:paraId="4563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8.2.2.1.3 履约担保有效期</w:t>
      </w:r>
    </w:p>
    <w:p w14:paraId="015FF51B">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eastAsia="zh-CN"/>
        </w:rPr>
        <w:t>乙方</w:t>
      </w:r>
      <w:r>
        <w:rPr>
          <w:rFonts w:ascii="宋体" w:hAnsi="宋体" w:cs="Times New Roman"/>
          <w:sz w:val="28"/>
          <w:szCs w:val="28"/>
          <w:highlight w:val="none"/>
        </w:rPr>
        <w:t>应保证履约担保在竣工验收合格之前一直有效。</w:t>
      </w:r>
    </w:p>
    <w:p w14:paraId="0DD56B7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8.2.2.1.4 履约担保的退还</w:t>
      </w:r>
      <w:r>
        <w:rPr>
          <w:rFonts w:ascii="宋体" w:hAnsi="宋体" w:cs="Times New Roman"/>
          <w:sz w:val="28"/>
          <w:szCs w:val="28"/>
          <w:highlight w:val="none"/>
        </w:rPr>
        <w:tab/>
      </w:r>
    </w:p>
    <w:p w14:paraId="3AEAED5D">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全部</w:t>
      </w:r>
      <w:r>
        <w:rPr>
          <w:rFonts w:hint="eastAsia" w:ascii="宋体" w:hAnsi="宋体"/>
          <w:sz w:val="28"/>
          <w:szCs w:val="28"/>
          <w:highlight w:val="none"/>
        </w:rPr>
        <w:t>工程竣工验收合格并试运行后15个工作日内一次性无息退还应予退还的履约保证金。</w:t>
      </w:r>
    </w:p>
    <w:p w14:paraId="5D3392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8.2.3 及时进场施工</w:t>
      </w:r>
    </w:p>
    <w:p w14:paraId="20B037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（1）乙方应在</w:t>
      </w:r>
      <w:r>
        <w:rPr>
          <w:rFonts w:hint="eastAsia" w:ascii="宋体" w:hAnsi="宋体" w:cs="Times New Roman"/>
          <w:sz w:val="28"/>
          <w:szCs w:val="28"/>
          <w:highlight w:val="none"/>
        </w:rPr>
        <w:t>甲方发出开工通知</w:t>
      </w:r>
      <w:r>
        <w:rPr>
          <w:rFonts w:ascii="宋体" w:hAnsi="宋体" w:cs="Times New Roman"/>
          <w:sz w:val="28"/>
          <w:szCs w:val="28"/>
          <w:highlight w:val="none"/>
        </w:rPr>
        <w:t>后3天内及时调遣人员和调配施工设备、材料进入工地，按施工总进度要求完成施工准备工作。</w:t>
      </w:r>
    </w:p>
    <w:p w14:paraId="38335E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因乙方不及时进场进行施工准备或不办理相关施工手续，致使开工通知（或报告）无法正常下达，每延误一天，甲方有权向乙方收取5000元违约金，乙方延期进场超过10天，甲方有权</w:t>
      </w:r>
      <w:r>
        <w:rPr>
          <w:rFonts w:hint="eastAsia" w:ascii="宋体" w:hAnsi="宋体" w:cs="Times New Roman"/>
          <w:sz w:val="28"/>
          <w:szCs w:val="28"/>
          <w:highlight w:val="none"/>
        </w:rPr>
        <w:t>解除</w:t>
      </w:r>
      <w:r>
        <w:rPr>
          <w:rFonts w:ascii="宋体" w:hAnsi="宋体" w:cs="Times New Roman"/>
          <w:sz w:val="28"/>
          <w:szCs w:val="28"/>
          <w:highlight w:val="none"/>
        </w:rPr>
        <w:t>合同，乙方应当向甲方</w:t>
      </w:r>
      <w:r>
        <w:rPr>
          <w:rFonts w:hint="eastAsia" w:ascii="宋体" w:hAnsi="宋体" w:cs="Times New Roman"/>
          <w:sz w:val="28"/>
          <w:szCs w:val="28"/>
          <w:highlight w:val="none"/>
        </w:rPr>
        <w:t>另行</w:t>
      </w:r>
      <w:r>
        <w:rPr>
          <w:rFonts w:ascii="宋体" w:hAnsi="宋体" w:cs="Times New Roman"/>
          <w:sz w:val="28"/>
          <w:szCs w:val="28"/>
          <w:highlight w:val="none"/>
        </w:rPr>
        <w:t>支付合同暂定总金额</w:t>
      </w:r>
      <w:r>
        <w:rPr>
          <w:rFonts w:hint="eastAsia" w:ascii="宋体" w:hAnsi="宋体" w:cs="Times New Roman"/>
          <w:sz w:val="28"/>
          <w:szCs w:val="28"/>
          <w:highlight w:val="none"/>
          <w:lang w:val="en-US" w:eastAsia="zh-CN"/>
        </w:rPr>
        <w:t>10</w:t>
      </w:r>
      <w:r>
        <w:rPr>
          <w:rFonts w:ascii="宋体" w:hAnsi="宋体" w:cs="Times New Roman"/>
          <w:sz w:val="28"/>
          <w:szCs w:val="28"/>
          <w:highlight w:val="none"/>
        </w:rPr>
        <w:t>%的违约金，退还甲方支付的所有费用并赔偿甲方一切损失。</w:t>
      </w:r>
    </w:p>
    <w:p w14:paraId="5A26DC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8.2.4 执行甲方的指示，按时完成各项承包工作</w:t>
      </w:r>
    </w:p>
    <w:p w14:paraId="080A09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乙方应认真执行甲方发出的与合同有关的任何指示，按合同规定的内容和时间完成承包</w:t>
      </w:r>
      <w:r>
        <w:rPr>
          <w:rFonts w:hint="eastAsia" w:ascii="宋体" w:hAnsi="宋体" w:cs="Times New Roman"/>
          <w:sz w:val="28"/>
          <w:szCs w:val="28"/>
          <w:highlight w:val="none"/>
        </w:rPr>
        <w:t>范围全部</w:t>
      </w:r>
      <w:r>
        <w:rPr>
          <w:rFonts w:ascii="宋体" w:hAnsi="宋体" w:cs="Times New Roman"/>
          <w:sz w:val="28"/>
          <w:szCs w:val="28"/>
          <w:highlight w:val="none"/>
        </w:rPr>
        <w:t>工作。</w:t>
      </w:r>
      <w:r>
        <w:rPr>
          <w:rFonts w:hint="eastAsia" w:ascii="宋体" w:hAnsi="宋体" w:cs="Times New Roman"/>
          <w:sz w:val="28"/>
          <w:szCs w:val="28"/>
          <w:highlight w:val="none"/>
        </w:rPr>
        <w:t>乙方未经甲方批准，拒绝完成承包范围内的工作，或拒绝完成工程变更的内容，</w:t>
      </w:r>
      <w:r>
        <w:rPr>
          <w:rFonts w:ascii="宋体" w:hAnsi="宋体" w:cs="Times New Roman"/>
          <w:sz w:val="28"/>
          <w:szCs w:val="28"/>
          <w:highlight w:val="none"/>
          <w:lang w:val="zh-CN"/>
        </w:rPr>
        <w:t>甲方将按</w:t>
      </w:r>
      <w:r>
        <w:rPr>
          <w:rFonts w:hint="eastAsia" w:ascii="宋体" w:hAnsi="宋体" w:cs="Times New Roman"/>
          <w:sz w:val="28"/>
          <w:szCs w:val="28"/>
          <w:highlight w:val="none"/>
          <w:lang w:val="en-US" w:eastAsia="zh-CN"/>
        </w:rPr>
        <w:t>1</w:t>
      </w:r>
      <w:r>
        <w:rPr>
          <w:rFonts w:ascii="宋体" w:hAnsi="宋体" w:cs="Times New Roman"/>
          <w:sz w:val="28"/>
          <w:szCs w:val="28"/>
          <w:highlight w:val="none"/>
          <w:lang w:val="zh-CN"/>
        </w:rPr>
        <w:t>处</w:t>
      </w:r>
      <w:r>
        <w:rPr>
          <w:rFonts w:hint="eastAsia" w:ascii="宋体" w:hAnsi="宋体" w:cs="Times New Roman"/>
          <w:sz w:val="28"/>
          <w:szCs w:val="28"/>
          <w:highlight w:val="none"/>
        </w:rPr>
        <w:t xml:space="preserve"> </w:t>
      </w:r>
      <w:r>
        <w:rPr>
          <w:rFonts w:hint="eastAsia" w:ascii="宋体" w:hAnsi="宋体" w:cs="Times New Roman"/>
          <w:sz w:val="28"/>
          <w:szCs w:val="28"/>
          <w:highlight w:val="none"/>
          <w:lang w:val="en-US" w:eastAsia="zh-CN"/>
        </w:rPr>
        <w:t>5000</w:t>
      </w:r>
      <w:r>
        <w:rPr>
          <w:rFonts w:ascii="宋体" w:hAnsi="宋体" w:cs="Times New Roman"/>
          <w:sz w:val="28"/>
          <w:szCs w:val="28"/>
          <w:highlight w:val="none"/>
          <w:lang w:val="zh-CN"/>
        </w:rPr>
        <w:t>元对乙方扣减违约金。</w:t>
      </w:r>
    </w:p>
    <w:p w14:paraId="0EB110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除合同另有规定外，乙方应提供为完成本合同工作所需的劳务、材料、施工设备、工程设备和其它物品。</w:t>
      </w:r>
    </w:p>
    <w:p w14:paraId="3AC7C0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8.2.5 提交施工组织设计、施工措施计划和部分施工图纸</w:t>
      </w:r>
    </w:p>
    <w:p w14:paraId="394D9B0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乙方应按合同规定的内容和时间要求，编制施工组织设计、施工措施计划和由乙方负责</w:t>
      </w:r>
      <w:r>
        <w:rPr>
          <w:rFonts w:hint="eastAsia" w:ascii="宋体" w:hAnsi="宋体" w:cs="Times New Roman"/>
          <w:sz w:val="28"/>
          <w:szCs w:val="28"/>
          <w:highlight w:val="none"/>
          <w:lang w:val="en-US" w:eastAsia="zh-CN"/>
        </w:rPr>
        <w:t>深化</w:t>
      </w:r>
      <w:r>
        <w:rPr>
          <w:rFonts w:ascii="宋体" w:hAnsi="宋体" w:cs="Times New Roman"/>
          <w:sz w:val="28"/>
          <w:szCs w:val="28"/>
          <w:highlight w:val="none"/>
        </w:rPr>
        <w:t>的施工图纸，报送甲方审批，并对现场作业和施工方法的完备和可靠性负全部责任。</w:t>
      </w:r>
    </w:p>
    <w:p w14:paraId="6DD3350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8.2.6 办理保险</w:t>
      </w:r>
    </w:p>
    <w:p w14:paraId="780EBEB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w:t>
      </w:r>
      <w:r>
        <w:rPr>
          <w:rFonts w:hint="eastAsia" w:ascii="宋体" w:hAnsi="宋体" w:cs="Times New Roman"/>
          <w:sz w:val="28"/>
          <w:szCs w:val="28"/>
          <w:highlight w:val="none"/>
        </w:rPr>
        <w:t>第8.2.27</w:t>
      </w:r>
      <w:r>
        <w:rPr>
          <w:rFonts w:ascii="宋体" w:hAnsi="宋体" w:cs="Times New Roman"/>
          <w:sz w:val="28"/>
          <w:szCs w:val="28"/>
          <w:highlight w:val="none"/>
        </w:rPr>
        <w:t>规定负责办理由乙方投保的保险。</w:t>
      </w:r>
    </w:p>
    <w:p w14:paraId="6A61783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8.2.7 文明施工</w:t>
      </w:r>
    </w:p>
    <w:p w14:paraId="619D4D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乙方应按国家及甲方有关规定文明施工，并应在施工组织设计中提出施工全过程的文明施工措施计划。</w:t>
      </w:r>
    </w:p>
    <w:p w14:paraId="78F258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8.2.8 保证工程质量</w:t>
      </w:r>
    </w:p>
    <w:p w14:paraId="3F7EDC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依据设计文件的要求，本工程项目的材料、设备、施工须达到现行中华人民共和国以及省、自治区、直辖市或行业的工程建设标准、规范的要求，各标准不一致的，以更高标准为准。</w:t>
      </w:r>
    </w:p>
    <w:p w14:paraId="137D6D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8.2.9 保证工程施工和人员的安全</w:t>
      </w:r>
    </w:p>
    <w:p w14:paraId="5BCB291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乙方应按第11.1条的有关规定认真采取施工安全措施，确保工程和由其管辖的人员、材料、设施和设备的安全，并应采取有效措施防止工地附近建筑物和居民的生命财产遭受损害</w:t>
      </w:r>
      <w:r>
        <w:rPr>
          <w:rFonts w:hint="eastAsia" w:ascii="宋体" w:hAnsi="宋体" w:cs="Times New Roman"/>
          <w:sz w:val="28"/>
          <w:szCs w:val="28"/>
          <w:highlight w:val="none"/>
        </w:rPr>
        <w:t>，乙方对工程施工过程中发生的人员、财务损失承担赔偿责任，甲方若因此承担损失，可向乙方追偿，包含诉讼费、律师费等维权成本均由乙方承担</w:t>
      </w:r>
      <w:r>
        <w:rPr>
          <w:rFonts w:ascii="宋体" w:hAnsi="宋体" w:cs="Times New Roman"/>
          <w:sz w:val="28"/>
          <w:szCs w:val="28"/>
          <w:highlight w:val="none"/>
        </w:rPr>
        <w:t>。</w:t>
      </w:r>
    </w:p>
    <w:p w14:paraId="4ACFAE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8.2.10 环境保护</w:t>
      </w:r>
    </w:p>
    <w:p w14:paraId="5205E8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和规章，并应按第11.2条的规定采取必要的措施保护工地及其附近的环境，免受因其施工引起的污染、噪声和其它因素所造成的环境破坏和人员伤害及财产损失。</w:t>
      </w:r>
    </w:p>
    <w:p w14:paraId="4F5B52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8.2.11 避免施工对公众利益的损害</w:t>
      </w:r>
    </w:p>
    <w:p w14:paraId="5B2A3B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乙方在进行本合同规定的各项工作时，应保障甲方和其它人的财产和利益以及使用公用道路、水源和公共设施的权利免受损害。若因乙方原因造成的损害、损失或罚款，乙方应当承担其全部责任或相关经济赔偿。</w:t>
      </w:r>
    </w:p>
    <w:p w14:paraId="34E28A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8.2.12 为其他人提供方便</w:t>
      </w:r>
    </w:p>
    <w:p w14:paraId="1B417CD4">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乙方应按甲方的指示为其他人在本工地或附近实施与本工程有关的其它各项工作提供必要的条件，并完成或提供配合工作，所涉及的费用已含于相应报价中不再另外计取。若乙方不能按要求为其他人提供必要条件，并完成或提供配合工作。甲方即可安排其他单位实施，所发生的费用从乙方的工程款中扣除，影响工期的责任由乙方负责。</w:t>
      </w:r>
    </w:p>
    <w:p w14:paraId="303BC3D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8.2.13 工程维护和保修</w:t>
      </w:r>
    </w:p>
    <w:p w14:paraId="39B3DB1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w:t>
      </w:r>
      <w:r>
        <w:rPr>
          <w:rFonts w:hint="eastAsia" w:ascii="宋体" w:hAnsi="宋体" w:cs="Times New Roman"/>
          <w:sz w:val="28"/>
          <w:szCs w:val="28"/>
          <w:highlight w:val="none"/>
          <w:lang w:val="en-US" w:eastAsia="zh-CN"/>
        </w:rPr>
        <w:t>竣工验收合格但</w:t>
      </w:r>
      <w:r>
        <w:rPr>
          <w:rFonts w:ascii="宋体" w:hAnsi="宋体" w:cs="Times New Roman"/>
          <w:sz w:val="28"/>
          <w:szCs w:val="28"/>
          <w:highlight w:val="none"/>
        </w:rPr>
        <w:t>未移交甲方前，乙方应负责照管和维护，移交后乙方应承担</w:t>
      </w:r>
      <w:r>
        <w:rPr>
          <w:rFonts w:hint="eastAsia" w:ascii="宋体" w:hAnsi="宋体" w:cs="Times New Roman"/>
          <w:sz w:val="28"/>
          <w:szCs w:val="28"/>
          <w:highlight w:val="none"/>
        </w:rPr>
        <w:t>质量保修期</w:t>
      </w:r>
      <w:r>
        <w:rPr>
          <w:rFonts w:ascii="宋体" w:hAnsi="宋体" w:cs="Times New Roman"/>
          <w:sz w:val="28"/>
          <w:szCs w:val="28"/>
          <w:highlight w:val="none"/>
        </w:rPr>
        <w:t>内的质量保修工作。若工程移交时尚有部分工程需在</w:t>
      </w:r>
      <w:r>
        <w:rPr>
          <w:rFonts w:hint="eastAsia" w:ascii="宋体" w:hAnsi="宋体" w:cs="Times New Roman"/>
          <w:sz w:val="28"/>
          <w:szCs w:val="28"/>
          <w:highlight w:val="none"/>
        </w:rPr>
        <w:t>质量保修期</w:t>
      </w:r>
      <w:r>
        <w:rPr>
          <w:rFonts w:ascii="宋体" w:hAnsi="宋体" w:cs="Times New Roman"/>
          <w:sz w:val="28"/>
          <w:szCs w:val="28"/>
          <w:highlight w:val="none"/>
        </w:rPr>
        <w:t>内继续完成，则乙方还应负责该未完工程的照管和维护工作，直至竣工后移交给甲方为止。</w:t>
      </w:r>
    </w:p>
    <w:p w14:paraId="010532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8.2.14 竣工清场和撤出</w:t>
      </w:r>
    </w:p>
    <w:p w14:paraId="384F756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乙方应在合同规定的期限内完成工地清理并按期撤退其人员、施工设备和剩余材料。</w:t>
      </w:r>
    </w:p>
    <w:p w14:paraId="58EBA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 乙方的人员</w:t>
      </w:r>
    </w:p>
    <w:p w14:paraId="4FAA80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8.2.15.1 乙方的职员和工人</w:t>
      </w:r>
    </w:p>
    <w:p w14:paraId="017A7F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乙方应为完成合同规定的各项工作向工地派遣或雇用技术合格和数量足够的下述人员：</w:t>
      </w:r>
    </w:p>
    <w:p w14:paraId="04C07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具有合格证明的各类专业技工和普工。</w:t>
      </w:r>
    </w:p>
    <w:p w14:paraId="7CDE3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具有相应技术理论知识和施工经验的各类专业技术人员及有能力进行现场施工管理和指导施工作业的工长。</w:t>
      </w:r>
    </w:p>
    <w:p w14:paraId="5B3DCB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具有相应岗位资格的管理人员。</w:t>
      </w:r>
    </w:p>
    <w:p w14:paraId="1258405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8.2.15.2 乙方项目经理和技术负责人</w:t>
      </w:r>
    </w:p>
    <w:p w14:paraId="028871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项目经理姓名：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2F6AE97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岗位职责：包括但不限于负责全面组织项目施工</w:t>
      </w:r>
      <w:r>
        <w:rPr>
          <w:rFonts w:ascii="宋体" w:hAnsi="宋体" w:cs="Times New Roman"/>
          <w:sz w:val="28"/>
          <w:szCs w:val="28"/>
          <w:highlight w:val="none"/>
        </w:rPr>
        <w:fldChar w:fldCharType="begin"/>
      </w:r>
      <w:r>
        <w:rPr>
          <w:rFonts w:ascii="宋体" w:hAnsi="宋体" w:cs="Times New Roman"/>
          <w:sz w:val="28"/>
          <w:szCs w:val="28"/>
          <w:highlight w:val="none"/>
        </w:rPr>
        <w:instrText xml:space="preserve"> HYPERLINK "https://www.guoxuemap.com/zhize.html" \t "http://www.guoxuemap.com/_blank" </w:instrText>
      </w:r>
      <w:r>
        <w:rPr>
          <w:rFonts w:ascii="宋体" w:hAnsi="宋体" w:cs="Times New Roman"/>
          <w:sz w:val="28"/>
          <w:szCs w:val="28"/>
          <w:highlight w:val="none"/>
        </w:rPr>
        <w:fldChar w:fldCharType="separate"/>
      </w:r>
      <w:r>
        <w:rPr>
          <w:rFonts w:ascii="宋体" w:hAnsi="宋体" w:cs="Times New Roman"/>
          <w:sz w:val="28"/>
          <w:szCs w:val="28"/>
          <w:highlight w:val="none"/>
        </w:rPr>
        <w:t>工作</w:t>
      </w:r>
      <w:r>
        <w:rPr>
          <w:rFonts w:ascii="宋体" w:hAnsi="宋体" w:cs="Times New Roman"/>
          <w:sz w:val="28"/>
          <w:szCs w:val="28"/>
          <w:highlight w:val="none"/>
        </w:rPr>
        <w:fldChar w:fldCharType="end"/>
      </w:r>
      <w:r>
        <w:rPr>
          <w:rFonts w:ascii="宋体" w:hAnsi="宋体" w:cs="Times New Roman"/>
          <w:sz w:val="28"/>
          <w:szCs w:val="28"/>
          <w:highlight w:val="none"/>
        </w:rPr>
        <w:t>，负责项目的质量、工期、成本、安全和生产价值的完成；负责实施安全责任制度，实现安全文明要求和目标；负责实现项目经济和技术指标；负责协调项目内部和外部的业务关系。</w:t>
      </w:r>
    </w:p>
    <w:p w14:paraId="00070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技术负责人姓名：</w:t>
      </w:r>
      <w:r>
        <w:rPr>
          <w:rFonts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r>
        <w:rPr>
          <w:rFonts w:ascii="宋体" w:hAnsi="宋体" w:cs="Times New Roman"/>
          <w:sz w:val="28"/>
          <w:szCs w:val="28"/>
          <w:highlight w:val="none"/>
        </w:rPr>
        <w:tab/>
      </w:r>
      <w:r>
        <w:rPr>
          <w:rFonts w:ascii="宋体" w:hAnsi="宋体" w:cs="Times New Roman"/>
          <w:sz w:val="28"/>
          <w:szCs w:val="28"/>
          <w:highlight w:val="none"/>
        </w:rPr>
        <w:t xml:space="preserve">           </w:t>
      </w:r>
    </w:p>
    <w:p w14:paraId="27C2D6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岗位职责：包括但不限于负责编制施工方案，并对各工种进行技术交底；负责配合项目经理解决现场各项问题；负责收集整理技术资料并报验。</w:t>
      </w:r>
    </w:p>
    <w:p w14:paraId="58FF53E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安全负责人</w:t>
      </w:r>
      <w:r>
        <w:rPr>
          <w:rFonts w:ascii="宋体" w:hAnsi="宋体" w:cs="Times New Roman"/>
          <w:sz w:val="28"/>
          <w:szCs w:val="28"/>
          <w:highlight w:val="none"/>
        </w:rPr>
        <w:t>姓名：</w:t>
      </w:r>
      <w:r>
        <w:rPr>
          <w:rFonts w:ascii="宋体" w:hAnsi="宋体" w:cs="Times New Roman"/>
          <w:sz w:val="28"/>
          <w:szCs w:val="28"/>
          <w:highlight w:val="none"/>
          <w:u w:val="single"/>
        </w:rPr>
        <w:t xml:space="preserve"> </w:t>
      </w:r>
      <w:r>
        <w:rPr>
          <w:rFonts w:hint="eastAsia" w:ascii="宋体" w:hAnsi="宋体" w:cs="Times New Roman"/>
          <w:color w:val="auto"/>
          <w:sz w:val="28"/>
          <w:szCs w:val="28"/>
          <w:highlight w:val="none"/>
          <w:u w:val="single"/>
          <w:lang w:val="en-US" w:eastAsia="zh-CN"/>
        </w:rPr>
        <w:t xml:space="preserve">   </w:t>
      </w:r>
      <w:r>
        <w:rPr>
          <w:rFonts w:ascii="宋体" w:hAnsi="宋体" w:cs="Times New Roman"/>
          <w:sz w:val="28"/>
          <w:szCs w:val="28"/>
          <w:highlight w:val="none"/>
          <w:u w:val="single"/>
        </w:rPr>
        <w:t xml:space="preserve"> </w:t>
      </w:r>
      <w:r>
        <w:rPr>
          <w:rFonts w:hint="eastAsia" w:ascii="宋体" w:hAnsi="宋体" w:cs="Times New Roman"/>
          <w:sz w:val="28"/>
          <w:szCs w:val="28"/>
          <w:highlight w:val="none"/>
        </w:rPr>
        <w:t>，联系方式：</w:t>
      </w:r>
      <w:r>
        <w:rPr>
          <w:rFonts w:hint="eastAsia" w:ascii="宋体" w:hAnsi="宋体" w:cs="Times New Roman"/>
          <w:sz w:val="28"/>
          <w:szCs w:val="28"/>
          <w:highlight w:val="none"/>
          <w:u w:val="single"/>
        </w:rPr>
        <w:t xml:space="preserve"> </w:t>
      </w:r>
      <w:r>
        <w:rPr>
          <w:rFonts w:hint="eastAsia" w:ascii="宋体" w:hAnsi="宋体" w:cs="Times New Roman"/>
          <w:sz w:val="28"/>
          <w:szCs w:val="28"/>
          <w:highlight w:val="none"/>
          <w:u w:val="single"/>
          <w:lang w:val="en-US" w:eastAsia="zh-CN"/>
        </w:rPr>
        <w:t xml:space="preserve">           </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22B15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rPr>
        <w:t>岗位职责：包括但不限于负责贯彻落实安全生产责任制度和操作规程，确保安全生产费用的有效使用，负责施工现场安全和隐患排查，定期开展安全生产检查，召开安全生产例会，并对各工种进行安全生产教育，负责检查特种作业人员的职业资格；发生事故后，负责配合项目经理组织抢救，保护现场，参加事故调查。</w:t>
      </w:r>
    </w:p>
    <w:p w14:paraId="73F67F6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项目经理和现场技术负责人是乙方常驻工地的负责人，按合同规定的乙方义务、责任和权利履行其职责。乙方项目经理应按本合同的规定和甲方的指示负责组织本工程的圆满实施。在情况紧急且无法与甲方联系时，可</w:t>
      </w:r>
      <w:r>
        <w:rPr>
          <w:rFonts w:hint="eastAsia" w:ascii="宋体" w:hAnsi="宋体" w:cs="Times New Roman"/>
          <w:sz w:val="28"/>
          <w:szCs w:val="28"/>
          <w:highlight w:val="none"/>
        </w:rPr>
        <w:t>首先</w:t>
      </w:r>
      <w:r>
        <w:rPr>
          <w:rFonts w:ascii="宋体" w:hAnsi="宋体" w:cs="Times New Roman"/>
          <w:sz w:val="28"/>
          <w:szCs w:val="28"/>
          <w:highlight w:val="none"/>
        </w:rPr>
        <w:t>采取保证工程和人员生命财产安全的紧急措施，并在决定采取措施后24小时内向甲方提交报告。</w:t>
      </w:r>
      <w:r>
        <w:rPr>
          <w:rFonts w:ascii="宋体" w:hAnsi="宋体" w:cs="Times New Roman"/>
          <w:sz w:val="28"/>
          <w:szCs w:val="28"/>
          <w:highlight w:val="none"/>
          <w:lang w:val="zh-CN"/>
        </w:rPr>
        <w:t>乙方为实施本合同发出的一切函件均应盖有乙方</w:t>
      </w:r>
      <w:r>
        <w:rPr>
          <w:rFonts w:hint="eastAsia" w:ascii="宋体" w:hAnsi="宋体" w:cs="Times New Roman"/>
          <w:sz w:val="28"/>
          <w:szCs w:val="28"/>
          <w:highlight w:val="none"/>
          <w:lang w:val="zh-CN"/>
        </w:rPr>
        <w:t>单位</w:t>
      </w:r>
      <w:r>
        <w:rPr>
          <w:rFonts w:ascii="宋体" w:hAnsi="宋体" w:cs="Times New Roman"/>
          <w:sz w:val="28"/>
          <w:szCs w:val="28"/>
          <w:highlight w:val="none"/>
          <w:lang w:val="zh-CN"/>
        </w:rPr>
        <w:t>公章和乙方项目经理签名。</w:t>
      </w:r>
    </w:p>
    <w:p w14:paraId="6F5527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CN"/>
        </w:rPr>
        <w:t>(2) 乙方指派的项目经理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应与</w:t>
      </w:r>
      <w:r>
        <w:rPr>
          <w:rFonts w:hint="eastAsia" w:ascii="宋体" w:hAnsi="宋体" w:cs="Times New Roman"/>
          <w:sz w:val="28"/>
          <w:szCs w:val="28"/>
          <w:highlight w:val="none"/>
        </w:rPr>
        <w:t>比选申请</w:t>
      </w:r>
      <w:r>
        <w:rPr>
          <w:rFonts w:ascii="宋体" w:hAnsi="宋体" w:cs="Times New Roman"/>
          <w:sz w:val="28"/>
          <w:szCs w:val="28"/>
          <w:highlight w:val="none"/>
          <w:lang w:val="zh-CN"/>
        </w:rPr>
        <w:t>文件一致。项目经理</w:t>
      </w:r>
      <w:r>
        <w:rPr>
          <w:rFonts w:hint="eastAsia" w:ascii="宋体" w:hAnsi="宋体" w:cs="Times New Roman"/>
          <w:sz w:val="28"/>
          <w:szCs w:val="28"/>
          <w:highlight w:val="none"/>
          <w:lang w:val="zh-CN"/>
        </w:rPr>
        <w:t>、</w:t>
      </w:r>
      <w:r>
        <w:rPr>
          <w:rFonts w:ascii="宋体" w:hAnsi="宋体" w:cs="Times New Roman"/>
          <w:sz w:val="28"/>
          <w:szCs w:val="28"/>
          <w:highlight w:val="none"/>
          <w:lang w:val="zh-CN"/>
        </w:rPr>
        <w:t>技术负责人</w:t>
      </w:r>
      <w:r>
        <w:rPr>
          <w:rFonts w:hint="eastAsia" w:ascii="宋体" w:hAnsi="宋体" w:cs="Times New Roman"/>
          <w:sz w:val="28"/>
          <w:szCs w:val="28"/>
          <w:highlight w:val="none"/>
          <w:lang w:val="zh-CN"/>
        </w:rPr>
        <w:t>和安全负责人</w:t>
      </w:r>
      <w:r>
        <w:rPr>
          <w:rFonts w:ascii="宋体" w:hAnsi="宋体" w:cs="Times New Roman"/>
          <w:sz w:val="28"/>
          <w:szCs w:val="28"/>
          <w:highlight w:val="none"/>
          <w:lang w:val="zh-CN"/>
        </w:rPr>
        <w:t>易人，应事先征得甲方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同意。项目经理及技术负责人离开工地两天及以上应事先征得甲方</w:t>
      </w:r>
      <w:r>
        <w:rPr>
          <w:rFonts w:ascii="宋体" w:hAnsi="宋体" w:cs="Times New Roman"/>
          <w:sz w:val="28"/>
          <w:szCs w:val="28"/>
          <w:highlight w:val="none"/>
        </w:rPr>
        <w:t>书面</w:t>
      </w:r>
      <w:r>
        <w:rPr>
          <w:rFonts w:ascii="宋体" w:hAnsi="宋体" w:cs="Times New Roman"/>
          <w:sz w:val="28"/>
          <w:szCs w:val="28"/>
          <w:highlight w:val="none"/>
          <w:lang w:val="zh-CN"/>
        </w:rPr>
        <w:t>同意，并委派代表代行其职，并通知</w:t>
      </w:r>
      <w:r>
        <w:rPr>
          <w:rFonts w:ascii="宋体" w:hAnsi="宋体" w:cs="Times New Roman"/>
          <w:sz w:val="28"/>
          <w:szCs w:val="28"/>
          <w:highlight w:val="none"/>
        </w:rPr>
        <w:t>甲方</w:t>
      </w:r>
      <w:r>
        <w:rPr>
          <w:rFonts w:ascii="宋体" w:hAnsi="宋体" w:cs="Times New Roman"/>
          <w:sz w:val="28"/>
          <w:szCs w:val="28"/>
          <w:highlight w:val="none"/>
          <w:lang w:val="zh-CN"/>
        </w:rPr>
        <w:t>。</w:t>
      </w:r>
    </w:p>
    <w:p w14:paraId="29F233BC">
      <w:pPr>
        <w:spacing w:line="600" w:lineRule="exact"/>
        <w:ind w:firstLine="560" w:firstLineChars="200"/>
        <w:rPr>
          <w:rFonts w:ascii="宋体" w:hAnsi="宋体" w:cs="Times New Roman"/>
          <w:sz w:val="28"/>
          <w:szCs w:val="28"/>
          <w:highlight w:val="none"/>
          <w:lang w:val="zh-CN"/>
        </w:rPr>
      </w:pPr>
      <w:r>
        <w:rPr>
          <w:rFonts w:ascii="宋体" w:hAnsi="宋体" w:cs="Times New Roman"/>
          <w:sz w:val="28"/>
          <w:szCs w:val="28"/>
          <w:highlight w:val="none"/>
        </w:rPr>
        <w:t>（3）</w:t>
      </w:r>
      <w:r>
        <w:rPr>
          <w:rFonts w:ascii="宋体" w:hAnsi="宋体" w:cs="Times New Roman"/>
          <w:sz w:val="28"/>
          <w:szCs w:val="28"/>
          <w:highlight w:val="none"/>
          <w:lang w:val="zh-CN"/>
        </w:rPr>
        <w:t>乙方提出更换项目经理或技术负责人均须</w:t>
      </w:r>
      <w:r>
        <w:rPr>
          <w:rFonts w:hint="eastAsia" w:ascii="宋体" w:hAnsi="宋体" w:cs="Times New Roman"/>
          <w:sz w:val="28"/>
          <w:szCs w:val="28"/>
          <w:highlight w:val="none"/>
        </w:rPr>
        <w:t>向乙方提出书面申请，并</w:t>
      </w:r>
      <w:r>
        <w:rPr>
          <w:rFonts w:ascii="宋体" w:hAnsi="宋体" w:cs="Times New Roman"/>
          <w:sz w:val="28"/>
          <w:szCs w:val="28"/>
          <w:highlight w:val="none"/>
          <w:lang w:val="zh-CN"/>
        </w:rPr>
        <w:t>经甲方</w:t>
      </w:r>
      <w:r>
        <w:rPr>
          <w:rFonts w:ascii="宋体" w:hAnsi="宋体" w:cs="Times New Roman"/>
          <w:sz w:val="28"/>
          <w:szCs w:val="28"/>
          <w:highlight w:val="none"/>
        </w:rPr>
        <w:t>书面</w:t>
      </w:r>
      <w:r>
        <w:rPr>
          <w:rFonts w:ascii="宋体" w:hAnsi="宋体" w:cs="Times New Roman"/>
          <w:sz w:val="28"/>
          <w:szCs w:val="28"/>
          <w:highlight w:val="none"/>
          <w:lang w:val="zh-CN"/>
        </w:rPr>
        <w:t>同意</w:t>
      </w:r>
      <w:r>
        <w:rPr>
          <w:rFonts w:hint="eastAsia" w:ascii="宋体" w:hAnsi="宋体" w:cs="Times New Roman"/>
          <w:sz w:val="28"/>
          <w:szCs w:val="28"/>
          <w:highlight w:val="none"/>
        </w:rPr>
        <w:t>方可更换</w:t>
      </w:r>
      <w:r>
        <w:rPr>
          <w:rFonts w:ascii="宋体" w:hAnsi="宋体" w:cs="Times New Roman"/>
          <w:sz w:val="28"/>
          <w:szCs w:val="28"/>
          <w:highlight w:val="none"/>
          <w:lang w:val="zh-CN"/>
        </w:rPr>
        <w:t>。若出现项目经理或技术负责人未经批准离开工地2天，甲方将按每发现一人次处5000元对乙方扣减违约金。若乙方未经甲方同意，更换了项目经理或技术负责人，甲方将按更换1人次处</w:t>
      </w:r>
      <w:r>
        <w:rPr>
          <w:rFonts w:hint="eastAsia" w:ascii="宋体" w:hAnsi="宋体" w:cs="Times New Roman"/>
          <w:sz w:val="28"/>
          <w:szCs w:val="28"/>
          <w:highlight w:val="none"/>
        </w:rPr>
        <w:t>10</w:t>
      </w:r>
      <w:r>
        <w:rPr>
          <w:rFonts w:ascii="宋体" w:hAnsi="宋体" w:cs="Times New Roman"/>
          <w:sz w:val="28"/>
          <w:szCs w:val="28"/>
          <w:highlight w:val="none"/>
          <w:lang w:val="zh-CN"/>
        </w:rPr>
        <w:t>000元对乙方扣减违约金。</w:t>
      </w:r>
    </w:p>
    <w:p w14:paraId="18C026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 乙方人员的管理</w:t>
      </w:r>
    </w:p>
    <w:p w14:paraId="2403284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8.2.16.1 乙方人员的安排</w:t>
      </w:r>
    </w:p>
    <w:p w14:paraId="7A4A07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除合同另有规定外，乙方应自行安排和调遣其本单位和从本工程所在地或其它地方雇用的所有职员，并为上述人员提供必要的工作和生活条件及负责支付酬金。</w:t>
      </w:r>
    </w:p>
    <w:p w14:paraId="7707549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乙方安排在工地的主要管理人员和专业技术骨干应相对稳定，上述人员的调动应报甲方书面同意。</w:t>
      </w:r>
    </w:p>
    <w:p w14:paraId="0A3594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8.2.16.2 提交管理机构和人员情况报告</w:t>
      </w:r>
    </w:p>
    <w:p w14:paraId="18BD27C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签订合同后4天内向甲方提交乙方在工地的管理机构以及人员安排的报告，其内容应包括管理机构的设置、主要技术和管理人员资质以及各工种技术工人的配备状况。若甲方认为有必要时，乙方还应按规定的格式，定期向甲方提交工地人员变动情况的报告。</w:t>
      </w:r>
    </w:p>
    <w:p w14:paraId="71BBCC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8.2.16.3 乙方人员的上岗资格</w:t>
      </w:r>
    </w:p>
    <w:p w14:paraId="2BC469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技术岗位和特殊工种的工人均应持有通过国家或有关部门统一考试或考核的资格证明。乙方应在按第8.2.16.2款要求提交的人员情况报告中，说明乙方人员持有上岗资格证明的情况。甲方有权</w:t>
      </w:r>
      <w:r>
        <w:rPr>
          <w:rFonts w:hint="eastAsia" w:ascii="宋体" w:hAnsi="宋体" w:cs="Times New Roman"/>
          <w:sz w:val="28"/>
          <w:szCs w:val="28"/>
          <w:highlight w:val="none"/>
        </w:rPr>
        <w:t>不定期</w:t>
      </w:r>
      <w:r>
        <w:rPr>
          <w:rFonts w:ascii="宋体" w:hAnsi="宋体" w:cs="Times New Roman"/>
          <w:sz w:val="28"/>
          <w:szCs w:val="28"/>
          <w:highlight w:val="none"/>
        </w:rPr>
        <w:t>检查乙方人员的上岗资格证明。</w:t>
      </w:r>
    </w:p>
    <w:p w14:paraId="6A906B1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8.2.17 保障乙方人员的合法权益</w:t>
      </w:r>
    </w:p>
    <w:p w14:paraId="05CC678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乙方应遵守有关</w:t>
      </w:r>
      <w:r>
        <w:rPr>
          <w:rFonts w:hint="eastAsia" w:ascii="宋体" w:hAnsi="宋体" w:cs="Times New Roman"/>
          <w:sz w:val="28"/>
          <w:szCs w:val="28"/>
          <w:highlight w:val="none"/>
        </w:rPr>
        <w:t>法律法规</w:t>
      </w:r>
      <w:r>
        <w:rPr>
          <w:rFonts w:ascii="宋体" w:hAnsi="宋体" w:cs="Times New Roman"/>
          <w:sz w:val="28"/>
          <w:szCs w:val="28"/>
          <w:highlight w:val="none"/>
        </w:rPr>
        <w:t>和规章的规定，充分保障乙方人员的合法权益。乙方应做到（</w:t>
      </w:r>
      <w:r>
        <w:rPr>
          <w:rFonts w:hint="eastAsia" w:ascii="宋体" w:hAnsi="宋体" w:cs="Times New Roman"/>
          <w:sz w:val="28"/>
          <w:szCs w:val="28"/>
          <w:highlight w:val="none"/>
        </w:rPr>
        <w:t>包括</w:t>
      </w:r>
      <w:r>
        <w:rPr>
          <w:rFonts w:ascii="宋体" w:hAnsi="宋体" w:cs="Times New Roman"/>
          <w:sz w:val="28"/>
          <w:szCs w:val="28"/>
          <w:highlight w:val="none"/>
        </w:rPr>
        <w:t>但不限于）：</w:t>
      </w:r>
    </w:p>
    <w:p w14:paraId="1C6F4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1</w:t>
      </w:r>
      <w:r>
        <w:rPr>
          <w:rFonts w:ascii="宋体" w:hAnsi="宋体" w:cs="Times New Roman"/>
          <w:sz w:val="28"/>
          <w:szCs w:val="28"/>
          <w:highlight w:val="none"/>
        </w:rPr>
        <w:t>) 保证其人员有享受休息和休假的权利，乙方应按劳动法的规定安排其人员的工作时间。因工程施工的特殊需要占用休假日或延长工作时间，不应超过规定的限度，并应按规定给予补休或付酬。</w:t>
      </w:r>
    </w:p>
    <w:p w14:paraId="39B4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为其人员提供必要的食宿条件以及符合环境保护和卫生要求的生活环境，配备必要的伤病预防、治疗和急救的医务人员和医疗设施。</w:t>
      </w:r>
    </w:p>
    <w:p w14:paraId="7AF5ED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按有关劳动保护的规定采取有效的防止粉尘、降低噪声、控制有害气体和保障高温、高寒、高空作业安全等措施。若其人员在施工中受到伤害，乙方应有责任立即采取有效措施进行抢救和治疗。</w:t>
      </w:r>
    </w:p>
    <w:p w14:paraId="346720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(4) </w:t>
      </w:r>
      <w:r>
        <w:rPr>
          <w:rFonts w:hint="eastAsia" w:ascii="宋体" w:hAnsi="宋体" w:cs="Times New Roman"/>
          <w:sz w:val="28"/>
          <w:szCs w:val="28"/>
          <w:highlight w:val="none"/>
        </w:rPr>
        <w:t>乙方</w:t>
      </w:r>
      <w:r>
        <w:rPr>
          <w:rFonts w:ascii="宋体" w:hAnsi="宋体" w:cs="Times New Roman"/>
          <w:sz w:val="28"/>
          <w:szCs w:val="28"/>
          <w:highlight w:val="none"/>
        </w:rPr>
        <w:t>应按照劳动法和劳动合同法的相关规定与为其管辖的所有聘(雇)用劳动者签订劳动合同，缴纳社会保险，按国家规定提供劳动保护，明确劳动报酬等内容</w:t>
      </w:r>
      <w:r>
        <w:rPr>
          <w:rFonts w:hint="eastAsia" w:ascii="宋体" w:hAnsi="宋体" w:cs="Times New Roman"/>
          <w:sz w:val="28"/>
          <w:szCs w:val="28"/>
          <w:highlight w:val="none"/>
        </w:rPr>
        <w:t>。</w:t>
      </w:r>
    </w:p>
    <w:p w14:paraId="7A5E15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负责处理并赔偿其所雇人员遭受的及其所雇人员给第三人造成的人身损害及财产损失，因此给甲方造成损失的，乙方应予赔偿</w:t>
      </w:r>
      <w:r>
        <w:rPr>
          <w:rFonts w:hint="eastAsia" w:ascii="宋体" w:hAnsi="宋体" w:cs="Times New Roman"/>
          <w:sz w:val="28"/>
          <w:szCs w:val="28"/>
          <w:highlight w:val="none"/>
        </w:rPr>
        <w:t>甲方因此造成的经济损失</w:t>
      </w:r>
      <w:r>
        <w:rPr>
          <w:rFonts w:ascii="宋体" w:hAnsi="宋体" w:cs="Times New Roman"/>
          <w:sz w:val="28"/>
          <w:szCs w:val="28"/>
          <w:highlight w:val="none"/>
        </w:rPr>
        <w:t>。</w:t>
      </w:r>
    </w:p>
    <w:p w14:paraId="5671C2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(6) </w:t>
      </w:r>
      <w:r>
        <w:rPr>
          <w:rFonts w:hint="eastAsia" w:ascii="宋体" w:hAnsi="宋体" w:cs="Times New Roman"/>
          <w:sz w:val="28"/>
          <w:szCs w:val="28"/>
          <w:highlight w:val="none"/>
        </w:rPr>
        <w:t>乙方</w:t>
      </w:r>
      <w:r>
        <w:rPr>
          <w:rFonts w:ascii="宋体" w:hAnsi="宋体" w:cs="Times New Roman"/>
          <w:sz w:val="28"/>
          <w:szCs w:val="28"/>
          <w:highlight w:val="none"/>
        </w:rPr>
        <w:t>取得合同</w:t>
      </w:r>
      <w:r>
        <w:rPr>
          <w:rFonts w:hint="eastAsia" w:ascii="宋体" w:hAnsi="宋体" w:cs="Times New Roman"/>
          <w:sz w:val="28"/>
          <w:szCs w:val="28"/>
          <w:highlight w:val="none"/>
        </w:rPr>
        <w:t>价</w:t>
      </w:r>
      <w:r>
        <w:rPr>
          <w:rFonts w:ascii="宋体" w:hAnsi="宋体" w:cs="Times New Roman"/>
          <w:sz w:val="28"/>
          <w:szCs w:val="28"/>
          <w:highlight w:val="none"/>
        </w:rPr>
        <w:t>款时，优先、定期、直接向农民工本人支付工资，不得将农民工工资拨付给不具备用工主体资格的组织或个人代发。乙方应按时支付所雇佣民工的工资，若乙方拖欠所雇佣民工的工资，由此带来的法律风险及经济损失由乙方承担，甲方有权从应付工程款中直接扣除并代为支付民工工资。</w:t>
      </w:r>
    </w:p>
    <w:p w14:paraId="5900C6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 交通运输</w:t>
      </w:r>
    </w:p>
    <w:p w14:paraId="060F1A3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8.2.18.1 场内施工道路</w:t>
      </w:r>
    </w:p>
    <w:p w14:paraId="6BFDFE0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甲方应提交给乙方使用的道路、交通设施及已有设施，应由乙方负责其在合同实施期内的维修、养护和交通管理工作，并承担一切费用。</w:t>
      </w:r>
    </w:p>
    <w:p w14:paraId="21886E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8.2.18.2 场外公共交通</w:t>
      </w:r>
    </w:p>
    <w:p w14:paraId="20B7453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乙方的车辆外出行驶所需的场外公共道路的通行费、养路费、进场道路修补费和税款等一切费用由乙方承担。</w:t>
      </w:r>
    </w:p>
    <w:p w14:paraId="25AD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乙方车辆应服从当地交通部门的管理，严格按照道路和桥梁的限制荷重安全行驶，并服从交通监管部门的检查和检验。</w:t>
      </w:r>
    </w:p>
    <w:p w14:paraId="5D7B18F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8.2.18.3 超大件和超重件的运输</w:t>
      </w:r>
    </w:p>
    <w:p w14:paraId="1A2034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由乙方负责运输的物件中；若遇有超大件或超重件时，应由乙方负责向交通管理部门办理申请手续。运输超大件或超重件所需进行的道路和桥梁临时加固改造费用和其它有关费用，均由乙方承担。</w:t>
      </w:r>
    </w:p>
    <w:p w14:paraId="43FB95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8.2.18.4 道路和桥梁的损坏责任</w:t>
      </w:r>
    </w:p>
    <w:p w14:paraId="2EB81D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乙方应为自己进行的物品运输造成工地内外公共道路和桥梁的损坏负全部责任，并负责支付修复损坏的全部费用和可能引起的索赔。</w:t>
      </w:r>
    </w:p>
    <w:p w14:paraId="14DD9BC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8.2.18.5 水路运输</w:t>
      </w:r>
    </w:p>
    <w:p w14:paraId="70E646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本条上述各款的内容亦适用于水路运输，其中“道路”一词的涵义应包括水闸、码头、堤防或与水路有关的其它结构物；“车辆”一词的涵义应包括船舶，本条各款规定仍有效。</w:t>
      </w:r>
    </w:p>
    <w:p w14:paraId="624336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8.2.19 </w:t>
      </w:r>
      <w:r>
        <w:rPr>
          <w:rFonts w:hint="eastAsia" w:ascii="宋体" w:hAnsi="宋体" w:cs="Times New Roman"/>
          <w:sz w:val="28"/>
          <w:szCs w:val="28"/>
          <w:highlight w:val="none"/>
        </w:rPr>
        <w:t>乙方</w:t>
      </w:r>
      <w:r>
        <w:rPr>
          <w:rFonts w:ascii="宋体" w:hAnsi="宋体" w:cs="Times New Roman"/>
          <w:sz w:val="28"/>
          <w:szCs w:val="28"/>
          <w:highlight w:val="none"/>
        </w:rPr>
        <w:t>按照施工图与说明书进行施工，确保工程质量，按合同约定的时间完工并交付使用。</w:t>
      </w:r>
    </w:p>
    <w:p w14:paraId="306B71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8.2.20 </w:t>
      </w:r>
      <w:r>
        <w:rPr>
          <w:rFonts w:hint="eastAsia" w:ascii="宋体" w:hAnsi="宋体" w:cs="Times New Roman"/>
          <w:sz w:val="28"/>
          <w:szCs w:val="28"/>
          <w:highlight w:val="none"/>
        </w:rPr>
        <w:t>乙方</w:t>
      </w:r>
      <w:r>
        <w:rPr>
          <w:rFonts w:ascii="宋体" w:hAnsi="宋体" w:cs="Times New Roman"/>
          <w:sz w:val="28"/>
          <w:szCs w:val="28"/>
          <w:highlight w:val="none"/>
        </w:rPr>
        <w:t>遵守政府有关部门对施工场地交通、施工噪音及环境保护和安全生产等的管理规定，按规定办理有关手续，否则承担因自身原因造成的罚款及其它处罚。</w:t>
      </w:r>
    </w:p>
    <w:p w14:paraId="6882A9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8.2.21 </w:t>
      </w:r>
      <w:r>
        <w:rPr>
          <w:rFonts w:hint="eastAsia" w:ascii="宋体" w:hAnsi="宋体" w:cs="Times New Roman"/>
          <w:sz w:val="28"/>
          <w:szCs w:val="28"/>
          <w:highlight w:val="none"/>
        </w:rPr>
        <w:t>乙方</w:t>
      </w:r>
      <w:r>
        <w:rPr>
          <w:rFonts w:ascii="宋体" w:hAnsi="宋体" w:cs="Times New Roman"/>
          <w:sz w:val="28"/>
          <w:szCs w:val="28"/>
          <w:highlight w:val="none"/>
        </w:rPr>
        <w:t>对已完工及未完工的房屋、构筑物和安装设备，在交工前负责保管，并清理好场地。</w:t>
      </w:r>
    </w:p>
    <w:p w14:paraId="7AB9EA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8.2.22 </w:t>
      </w:r>
      <w:r>
        <w:rPr>
          <w:rFonts w:hint="eastAsia" w:ascii="宋体" w:hAnsi="宋体" w:cs="Times New Roman"/>
          <w:sz w:val="28"/>
          <w:szCs w:val="28"/>
          <w:highlight w:val="none"/>
        </w:rPr>
        <w:t>乙方</w:t>
      </w:r>
      <w:r>
        <w:rPr>
          <w:rFonts w:ascii="宋体" w:hAnsi="宋体" w:cs="Times New Roman"/>
          <w:sz w:val="28"/>
          <w:szCs w:val="28"/>
          <w:highlight w:val="none"/>
        </w:rPr>
        <w:t>在提交竣工验收报告的同时提供竣工验收的相关技术资料，参加工程验收，在甲方验收合格后28日内办理竣工结算。</w:t>
      </w:r>
    </w:p>
    <w:p w14:paraId="6427EF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8.2.23 </w:t>
      </w:r>
      <w:r>
        <w:rPr>
          <w:rFonts w:hint="eastAsia" w:ascii="宋体" w:hAnsi="宋体" w:cs="Times New Roman"/>
          <w:sz w:val="28"/>
          <w:szCs w:val="28"/>
          <w:highlight w:val="none"/>
        </w:rPr>
        <w:t>乙方</w:t>
      </w:r>
      <w:r>
        <w:rPr>
          <w:rFonts w:ascii="宋体" w:hAnsi="宋体" w:cs="Times New Roman"/>
          <w:sz w:val="28"/>
          <w:szCs w:val="28"/>
          <w:highlight w:val="none"/>
        </w:rPr>
        <w:t>在施工过程中如发生较大工程质量事故，应及时报告甲方和安全管理部门，经甲方、安全管理部门共同研究，明确责任，确定处理方案后方可实施。</w:t>
      </w:r>
    </w:p>
    <w:p w14:paraId="2E9DF0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8.2.24 </w:t>
      </w:r>
      <w:r>
        <w:rPr>
          <w:rFonts w:hint="eastAsia" w:ascii="宋体" w:hAnsi="宋体" w:cs="Times New Roman"/>
          <w:sz w:val="28"/>
          <w:szCs w:val="28"/>
          <w:highlight w:val="none"/>
        </w:rPr>
        <w:t>乙方</w:t>
      </w:r>
      <w:r>
        <w:rPr>
          <w:rFonts w:ascii="宋体" w:hAnsi="宋体" w:cs="Times New Roman"/>
          <w:sz w:val="28"/>
          <w:szCs w:val="28"/>
          <w:highlight w:val="none"/>
        </w:rPr>
        <w:t>做好施工场地地下管线和邻近建筑物、构筑物等的保护工作，并承担相应的费用。</w:t>
      </w:r>
    </w:p>
    <w:p w14:paraId="636C96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8.2.25 乙方在施工过程中应遵守甲方的施工安全管理规定，并接受甲方安全管理部门的监督、检查及安全教育培训，若在施工过程中有违反施工安全管理规定的，甲方有权依照管理规定对乙方</w:t>
      </w:r>
      <w:r>
        <w:rPr>
          <w:rFonts w:ascii="宋体" w:hAnsi="宋体" w:cs="Times New Roman"/>
          <w:sz w:val="28"/>
          <w:szCs w:val="28"/>
          <w:highlight w:val="none"/>
          <w:lang w:val="zh-CN"/>
        </w:rPr>
        <w:t>扣减违约金</w:t>
      </w:r>
      <w:r>
        <w:rPr>
          <w:rFonts w:ascii="宋体" w:hAnsi="宋体" w:cs="Times New Roman"/>
          <w:sz w:val="28"/>
          <w:szCs w:val="28"/>
          <w:highlight w:val="none"/>
        </w:rPr>
        <w:t>。</w:t>
      </w:r>
    </w:p>
    <w:p w14:paraId="30F671E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8.2.26 乙方应该承担各分包单位的协调工作，并承担相关协调费用。各专业之间有交叉作业的，乙方应该组织协调甲方提前审核方案</w:t>
      </w:r>
      <w:r>
        <w:rPr>
          <w:rFonts w:hint="eastAsia" w:ascii="宋体" w:hAnsi="宋体" w:cs="Times New Roman"/>
          <w:sz w:val="28"/>
          <w:szCs w:val="28"/>
          <w:highlight w:val="none"/>
        </w:rPr>
        <w:t>。与本项目相关的作业，</w:t>
      </w:r>
      <w:r>
        <w:rPr>
          <w:rFonts w:ascii="宋体" w:hAnsi="宋体" w:cs="Times New Roman"/>
          <w:sz w:val="28"/>
          <w:szCs w:val="28"/>
          <w:highlight w:val="none"/>
        </w:rPr>
        <w:t>乙方或分包人不能以不属于承包范围为理由拒绝，工程结算时由乙方组织按相关规定自行内部结算。</w:t>
      </w:r>
    </w:p>
    <w:p w14:paraId="52F780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8.2.27办理保险</w:t>
      </w:r>
    </w:p>
    <w:p w14:paraId="5C2238C2">
      <w:pPr>
        <w:spacing w:line="600" w:lineRule="exact"/>
        <w:ind w:firstLine="560" w:firstLineChars="200"/>
        <w:rPr>
          <w:highlight w:val="none"/>
        </w:rPr>
      </w:pPr>
      <w:r>
        <w:rPr>
          <w:rFonts w:hint="eastAsia" w:ascii="宋体" w:hAnsi="宋体" w:cs="Times New Roman"/>
          <w:sz w:val="28"/>
          <w:szCs w:val="28"/>
          <w:highlight w:val="none"/>
        </w:rPr>
        <w:t>乙方须为本项目</w:t>
      </w:r>
      <w:r>
        <w:rPr>
          <w:rFonts w:ascii="宋体" w:hAnsi="宋体" w:cs="Times New Roman"/>
          <w:sz w:val="28"/>
          <w:szCs w:val="28"/>
          <w:highlight w:val="none"/>
        </w:rPr>
        <w:t>投保工程一切险</w:t>
      </w:r>
      <w:r>
        <w:rPr>
          <w:rFonts w:hint="eastAsia" w:ascii="宋体" w:hAnsi="宋体" w:cs="Times New Roman"/>
          <w:sz w:val="28"/>
          <w:szCs w:val="28"/>
          <w:highlight w:val="none"/>
        </w:rPr>
        <w:t>和第三者责任险，</w:t>
      </w:r>
      <w:r>
        <w:rPr>
          <w:rFonts w:ascii="宋体" w:hAnsi="宋体" w:cs="Times New Roman"/>
          <w:sz w:val="28"/>
          <w:szCs w:val="28"/>
          <w:highlight w:val="none"/>
        </w:rPr>
        <w:t>保险的</w:t>
      </w:r>
      <w:r>
        <w:rPr>
          <w:rFonts w:ascii="宋体" w:hAnsi="宋体" w:cs="Times New Roman"/>
          <w:sz w:val="28"/>
          <w:szCs w:val="28"/>
          <w:highlight w:val="none"/>
          <w:lang w:bidi="ar"/>
        </w:rPr>
        <w:t>项目名称 必须与合同规定的项目名称一致，保险金额不低于合同总价，第三者责任险保额不低于100万元，保险期须包含整个项目周期。</w:t>
      </w:r>
      <w:r>
        <w:rPr>
          <w:rFonts w:hint="eastAsia" w:ascii="宋体" w:hAnsi="宋体" w:cs="Times New Roman"/>
          <w:sz w:val="28"/>
          <w:szCs w:val="28"/>
          <w:highlight w:val="none"/>
        </w:rPr>
        <w:t>并按国家相关规定投保工伤保险、意外险、设备险等，</w:t>
      </w:r>
      <w:r>
        <w:rPr>
          <w:rFonts w:ascii="宋体" w:hAnsi="宋体" w:cs="Times New Roman"/>
          <w:sz w:val="28"/>
          <w:szCs w:val="28"/>
          <w:highlight w:val="none"/>
        </w:rPr>
        <w:t>因投保产生的保险费和其他相关费用由</w:t>
      </w:r>
      <w:r>
        <w:rPr>
          <w:rFonts w:hint="eastAsia" w:ascii="宋体" w:hAnsi="宋体" w:cs="Times New Roman"/>
          <w:sz w:val="28"/>
          <w:szCs w:val="28"/>
          <w:highlight w:val="none"/>
        </w:rPr>
        <w:t>乙方</w:t>
      </w:r>
      <w:r>
        <w:rPr>
          <w:rFonts w:ascii="宋体" w:hAnsi="宋体" w:cs="Times New Roman"/>
          <w:sz w:val="28"/>
          <w:szCs w:val="28"/>
          <w:highlight w:val="none"/>
        </w:rPr>
        <w:t>承担。</w:t>
      </w:r>
    </w:p>
    <w:p w14:paraId="79F8CD1D">
      <w:pPr>
        <w:spacing w:line="600" w:lineRule="exact"/>
        <w:ind w:firstLine="560" w:firstLineChars="200"/>
        <w:rPr>
          <w:rFonts w:hint="eastAsia" w:ascii="宋体" w:hAnsi="宋体" w:eastAsia="宋体" w:cs="Times New Roman"/>
          <w:sz w:val="28"/>
          <w:szCs w:val="28"/>
          <w:highlight w:val="none"/>
          <w:lang w:eastAsia="zh-CN"/>
        </w:rPr>
      </w:pPr>
      <w:r>
        <w:rPr>
          <w:rFonts w:ascii="宋体" w:hAnsi="宋体" w:cs="Times New Roman"/>
          <w:sz w:val="28"/>
          <w:szCs w:val="28"/>
          <w:highlight w:val="none"/>
        </w:rPr>
        <w:t>8.2.2</w:t>
      </w:r>
      <w:r>
        <w:rPr>
          <w:rFonts w:hint="eastAsia" w:ascii="宋体" w:hAnsi="宋体" w:cs="Times New Roman"/>
          <w:sz w:val="28"/>
          <w:szCs w:val="28"/>
          <w:highlight w:val="none"/>
        </w:rPr>
        <w:t>8</w:t>
      </w:r>
      <w:r>
        <w:rPr>
          <w:rFonts w:ascii="宋体" w:hAnsi="宋体" w:cs="Times New Roman"/>
          <w:sz w:val="28"/>
          <w:szCs w:val="28"/>
          <w:highlight w:val="none"/>
        </w:rPr>
        <w:t xml:space="preserve"> 乙方应履行合同约定的其他义务以及下述义务：</w:t>
      </w:r>
      <w:r>
        <w:rPr>
          <w:rFonts w:hint="eastAsia" w:ascii="宋体" w:hAnsi="宋体" w:cs="Times New Roman"/>
          <w:sz w:val="28"/>
          <w:szCs w:val="28"/>
          <w:highlight w:val="none"/>
        </w:rPr>
        <w:t>安全隐患监督整改罚款条款</w:t>
      </w:r>
      <w:r>
        <w:rPr>
          <w:rFonts w:hint="eastAsia" w:ascii="宋体" w:hAnsi="宋体" w:cs="Times New Roman"/>
          <w:sz w:val="28"/>
          <w:szCs w:val="28"/>
          <w:highlight w:val="none"/>
          <w:lang w:eastAsia="zh-CN"/>
        </w:rPr>
        <w:t>：</w:t>
      </w:r>
    </w:p>
    <w:p w14:paraId="25B10D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（1）乙方自行核查施工现场，工程地质情况，地下管线情况，周边架空情况等可能影响施工的一切因素，并采取相应措施。</w:t>
      </w:r>
    </w:p>
    <w:p w14:paraId="6CE761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（2）对有关图纸资料进行认真分析和计算，并对施工现场进行勘察，确保本项目施工的安全性、合理性、经济性。</w:t>
      </w:r>
    </w:p>
    <w:p w14:paraId="2575C2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乙方对所有进场工作人员进行安全教育使其遵守国家政府及甲方现场项目部关于安全文明施工管理的规定，并为现场开展工作的人员提供安全措施，承担因乙方原因造成的安全事故的责任（含承担人员伤、亡等费用）和甲方及第三人的损失。</w:t>
      </w:r>
    </w:p>
    <w:p w14:paraId="6F4B2D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（4）工程竣工后，乙方应根据甲方要求归档工程资料，甲方没有提出具体要求的，应按照《建设工程文件档案规范》（GB/T50328-2014）归档资料。若乙方移交的相关资料不能达到甲方的要求，经</w:t>
      </w:r>
      <w:r>
        <w:rPr>
          <w:rFonts w:hint="eastAsia" w:ascii="宋体" w:hAnsi="宋体" w:cs="Times New Roman"/>
          <w:sz w:val="28"/>
          <w:szCs w:val="28"/>
          <w:highlight w:val="none"/>
        </w:rPr>
        <w:t>限期</w:t>
      </w:r>
      <w:r>
        <w:rPr>
          <w:rFonts w:ascii="宋体" w:hAnsi="宋体" w:cs="Times New Roman"/>
          <w:sz w:val="28"/>
          <w:szCs w:val="28"/>
          <w:highlight w:val="none"/>
        </w:rPr>
        <w:t>整改两次以上仍不能达到要求的，甲方每提出整改</w:t>
      </w:r>
      <w:r>
        <w:rPr>
          <w:rFonts w:hint="eastAsia" w:ascii="宋体" w:hAnsi="宋体" w:cs="Times New Roman"/>
          <w:sz w:val="28"/>
          <w:szCs w:val="28"/>
          <w:highlight w:val="none"/>
        </w:rPr>
        <w:t>或整改超期</w:t>
      </w:r>
      <w:r>
        <w:rPr>
          <w:rFonts w:ascii="宋体" w:hAnsi="宋体" w:cs="Times New Roman"/>
          <w:sz w:val="28"/>
          <w:szCs w:val="28"/>
          <w:highlight w:val="none"/>
        </w:rPr>
        <w:t>一次，乙方须向甲方支付违约金1000元，直至整改</w:t>
      </w:r>
      <w:r>
        <w:rPr>
          <w:rFonts w:hint="eastAsia" w:ascii="宋体" w:hAnsi="宋体" w:cs="Times New Roman"/>
          <w:sz w:val="28"/>
          <w:szCs w:val="28"/>
          <w:highlight w:val="none"/>
        </w:rPr>
        <w:t>至甲方</w:t>
      </w:r>
      <w:r>
        <w:rPr>
          <w:rFonts w:ascii="宋体" w:hAnsi="宋体" w:cs="Times New Roman"/>
          <w:sz w:val="28"/>
          <w:szCs w:val="28"/>
          <w:highlight w:val="none"/>
        </w:rPr>
        <w:t>合格为止。</w:t>
      </w:r>
    </w:p>
    <w:p w14:paraId="42F3546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(5)乙方应执行政府有关民工工资的管理规定及甲方关于民工工资的相关管理办法。如出现因乙方拖欠民工工资导致民工到政府有关部门或甲方处索要工资的情况，则每出现一次，甲方将向乙方收取5万元违约金；情节严重的，乙方将不得再参与甲方及其关联企业以后项目的</w:t>
      </w:r>
      <w:r>
        <w:rPr>
          <w:rFonts w:hint="eastAsia" w:ascii="宋体" w:hAnsi="宋体" w:cs="Times New Roman"/>
          <w:sz w:val="28"/>
          <w:szCs w:val="28"/>
          <w:highlight w:val="none"/>
        </w:rPr>
        <w:t>投标</w:t>
      </w:r>
      <w:r>
        <w:rPr>
          <w:rFonts w:ascii="宋体" w:hAnsi="宋体" w:cs="Times New Roman"/>
          <w:sz w:val="28"/>
          <w:szCs w:val="28"/>
          <w:highlight w:val="none"/>
        </w:rPr>
        <w:t>。</w:t>
      </w:r>
    </w:p>
    <w:p w14:paraId="1970877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w:t>
      </w:r>
      <w:r>
        <w:rPr>
          <w:rFonts w:hint="eastAsia" w:ascii="宋体" w:hAnsi="宋体" w:cs="Times New Roman"/>
          <w:sz w:val="28"/>
          <w:szCs w:val="28"/>
          <w:highlight w:val="none"/>
        </w:rPr>
        <w:t xml:space="preserve"> </w:t>
      </w:r>
      <w:r>
        <w:rPr>
          <w:rFonts w:ascii="宋体" w:hAnsi="宋体" w:cs="Times New Roman"/>
          <w:sz w:val="28"/>
          <w:szCs w:val="28"/>
          <w:highlight w:val="none"/>
        </w:rPr>
        <w:t>乙方应自备发电机组确保施工用电，并充分考虑工程所在地停电、电压偏低、负荷偏小的风险。任何因施工现场供电原因而导致的造价索赔不被批准，工期索赔报甲方同意后工期可适当顺延。</w:t>
      </w:r>
    </w:p>
    <w:p w14:paraId="71FC1F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7</w:t>
      </w:r>
      <w:r>
        <w:rPr>
          <w:rFonts w:ascii="宋体" w:hAnsi="宋体" w:cs="Times New Roman"/>
          <w:sz w:val="28"/>
          <w:szCs w:val="28"/>
          <w:highlight w:val="none"/>
        </w:rPr>
        <w:t>) 乙方应采取有效措施确保施工用水，并充分考虑工程所在地用水不便、停水、水压偏低等的风险。任何因施工现场供水原因而导致的造价索赔将不被批准，工期索赔报甲方书面同意后工期可适当顺延。</w:t>
      </w:r>
    </w:p>
    <w:p w14:paraId="71D1C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w:t>
      </w:r>
      <w:r>
        <w:rPr>
          <w:rFonts w:hint="eastAsia" w:ascii="宋体" w:hAnsi="宋体" w:cs="Times New Roman"/>
          <w:sz w:val="28"/>
          <w:szCs w:val="28"/>
          <w:highlight w:val="none"/>
        </w:rPr>
        <w:t>8</w:t>
      </w:r>
      <w:r>
        <w:rPr>
          <w:rFonts w:ascii="宋体" w:hAnsi="宋体" w:cs="Times New Roman"/>
          <w:sz w:val="28"/>
          <w:szCs w:val="28"/>
          <w:highlight w:val="none"/>
        </w:rPr>
        <w:t>)乙方同意接受甲方监督其针对本工程相关材料供应商的货款支付履约情况，保证依照相关合同及时支付材料或设备款。</w:t>
      </w:r>
    </w:p>
    <w:p w14:paraId="2EDB73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 施工技术资料的提供</w:t>
      </w:r>
    </w:p>
    <w:p w14:paraId="71AE4B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9.1 开工前</w:t>
      </w:r>
      <w:r>
        <w:rPr>
          <w:rFonts w:hint="eastAsia" w:ascii="宋体" w:hAnsi="宋体" w:cs="Times New Roman"/>
          <w:sz w:val="28"/>
          <w:szCs w:val="28"/>
          <w:highlight w:val="none"/>
          <w:lang w:val="en-US" w:eastAsia="zh-CN"/>
        </w:rPr>
        <w:t>7</w:t>
      </w:r>
      <w:r>
        <w:rPr>
          <w:rFonts w:ascii="宋体" w:hAnsi="宋体" w:cs="Times New Roman"/>
          <w:sz w:val="28"/>
          <w:szCs w:val="28"/>
          <w:highlight w:val="none"/>
        </w:rPr>
        <w:t xml:space="preserve">日内甲方向乙方提供施工图 </w:t>
      </w:r>
      <w:r>
        <w:rPr>
          <w:rFonts w:hint="eastAsia" w:ascii="宋体" w:hAnsi="宋体" w:cs="Times New Roman"/>
          <w:sz w:val="28"/>
          <w:szCs w:val="28"/>
          <w:highlight w:val="none"/>
          <w:lang w:val="en-US" w:eastAsia="zh-CN"/>
        </w:rPr>
        <w:t>1</w:t>
      </w:r>
      <w:r>
        <w:rPr>
          <w:rFonts w:ascii="宋体" w:hAnsi="宋体" w:cs="Times New Roman"/>
          <w:sz w:val="28"/>
          <w:szCs w:val="28"/>
          <w:highlight w:val="none"/>
        </w:rPr>
        <w:t xml:space="preserve">套，非标图 </w:t>
      </w:r>
      <w:r>
        <w:rPr>
          <w:rFonts w:hint="eastAsia" w:ascii="宋体" w:hAnsi="宋体" w:cs="Times New Roman"/>
          <w:sz w:val="28"/>
          <w:szCs w:val="28"/>
          <w:highlight w:val="none"/>
          <w:lang w:val="en-US" w:eastAsia="zh-CN"/>
        </w:rPr>
        <w:t>/</w:t>
      </w:r>
      <w:r>
        <w:rPr>
          <w:rFonts w:ascii="宋体" w:hAnsi="宋体" w:cs="Times New Roman"/>
          <w:sz w:val="28"/>
          <w:szCs w:val="28"/>
          <w:highlight w:val="none"/>
        </w:rPr>
        <w:t>套，国家标准一律由乙方自备。</w:t>
      </w:r>
    </w:p>
    <w:p w14:paraId="47450FC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9.2 图纸的保密</w:t>
      </w:r>
    </w:p>
    <w:p w14:paraId="40A074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未经对方许可，按合同规定由甲方和乙方相互提供的图纸不得泄露</w:t>
      </w:r>
      <w:r>
        <w:rPr>
          <w:rFonts w:hint="eastAsia" w:ascii="宋体" w:hAnsi="宋体" w:cs="Times New Roman"/>
          <w:sz w:val="28"/>
          <w:szCs w:val="28"/>
          <w:highlight w:val="none"/>
        </w:rPr>
        <w:t>给予</w:t>
      </w:r>
      <w:r>
        <w:rPr>
          <w:rFonts w:ascii="宋体" w:hAnsi="宋体" w:cs="Times New Roman"/>
          <w:sz w:val="28"/>
          <w:szCs w:val="28"/>
          <w:highlight w:val="none"/>
        </w:rPr>
        <w:t>本合同</w:t>
      </w:r>
      <w:r>
        <w:rPr>
          <w:rFonts w:hint="eastAsia" w:ascii="宋体" w:hAnsi="宋体" w:cs="Times New Roman"/>
          <w:sz w:val="28"/>
          <w:szCs w:val="28"/>
          <w:highlight w:val="none"/>
          <w:lang w:val="en-US" w:eastAsia="zh-CN"/>
        </w:rPr>
        <w:t>项目</w:t>
      </w:r>
      <w:r>
        <w:rPr>
          <w:rFonts w:ascii="宋体" w:hAnsi="宋体" w:cs="Times New Roman"/>
          <w:sz w:val="28"/>
          <w:szCs w:val="28"/>
          <w:highlight w:val="none"/>
        </w:rPr>
        <w:t>无关的第</w:t>
      </w:r>
      <w:r>
        <w:rPr>
          <w:rFonts w:hint="eastAsia" w:ascii="宋体" w:hAnsi="宋体" w:cs="Times New Roman"/>
          <w:sz w:val="28"/>
          <w:szCs w:val="28"/>
          <w:highlight w:val="none"/>
        </w:rPr>
        <w:t>三方</w:t>
      </w:r>
      <w:r>
        <w:rPr>
          <w:rFonts w:ascii="宋体" w:hAnsi="宋体" w:cs="Times New Roman"/>
          <w:sz w:val="28"/>
          <w:szCs w:val="28"/>
          <w:highlight w:val="none"/>
        </w:rPr>
        <w:t>，违者应对泄密造成的后果承担责任。</w:t>
      </w:r>
    </w:p>
    <w:p w14:paraId="3B534B7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9.3 引进成套设备，甲方向乙方提供原版图1套、中文图</w:t>
      </w:r>
      <w:r>
        <w:rPr>
          <w:rFonts w:hint="eastAsia" w:ascii="宋体" w:hAnsi="宋体" w:cs="Times New Roman"/>
          <w:sz w:val="28"/>
          <w:szCs w:val="28"/>
          <w:highlight w:val="none"/>
        </w:rPr>
        <w:t xml:space="preserve"> / </w:t>
      </w:r>
      <w:r>
        <w:rPr>
          <w:rFonts w:ascii="宋体" w:hAnsi="宋体" w:cs="Times New Roman"/>
          <w:sz w:val="28"/>
          <w:szCs w:val="28"/>
          <w:highlight w:val="none"/>
        </w:rPr>
        <w:t>套、施工要领书或技术标准</w:t>
      </w:r>
      <w:r>
        <w:rPr>
          <w:rFonts w:hint="eastAsia" w:ascii="宋体" w:hAnsi="宋体" w:cs="Times New Roman"/>
          <w:sz w:val="28"/>
          <w:szCs w:val="28"/>
          <w:highlight w:val="none"/>
        </w:rPr>
        <w:t xml:space="preserve"> / </w:t>
      </w:r>
      <w:r>
        <w:rPr>
          <w:rFonts w:ascii="宋体" w:hAnsi="宋体" w:cs="Times New Roman"/>
          <w:sz w:val="28"/>
          <w:szCs w:val="28"/>
          <w:highlight w:val="none"/>
        </w:rPr>
        <w:t>套。</w:t>
      </w:r>
    </w:p>
    <w:p w14:paraId="72BAE5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9.4 一切设计变更、材料代用、技术问题联系单均采用书面形式，</w:t>
      </w:r>
      <w:r>
        <w:rPr>
          <w:rFonts w:hint="eastAsia" w:ascii="宋体" w:hAnsi="宋体" w:cs="Times New Roman"/>
          <w:sz w:val="28"/>
          <w:szCs w:val="28"/>
          <w:highlight w:val="none"/>
        </w:rPr>
        <w:t>由</w:t>
      </w:r>
      <w:r>
        <w:rPr>
          <w:rFonts w:ascii="宋体" w:hAnsi="宋体" w:cs="Times New Roman"/>
          <w:sz w:val="28"/>
          <w:szCs w:val="28"/>
          <w:highlight w:val="none"/>
        </w:rPr>
        <w:t>设计人签字并加盖设计</w:t>
      </w:r>
      <w:r>
        <w:rPr>
          <w:rFonts w:hint="eastAsia" w:ascii="宋体" w:hAnsi="宋体" w:cs="Times New Roman"/>
          <w:sz w:val="28"/>
          <w:szCs w:val="28"/>
          <w:highlight w:val="none"/>
        </w:rPr>
        <w:t>单位</w:t>
      </w:r>
      <w:r>
        <w:rPr>
          <w:rFonts w:ascii="宋体" w:hAnsi="宋体" w:cs="Times New Roman"/>
          <w:sz w:val="28"/>
          <w:szCs w:val="28"/>
          <w:highlight w:val="none"/>
        </w:rPr>
        <w:t>公章。</w:t>
      </w:r>
    </w:p>
    <w:p w14:paraId="4D02A9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9.5 施工过程中如发现设计有错误或严重不合理时，乙方应在</w:t>
      </w:r>
      <w:r>
        <w:rPr>
          <w:rFonts w:hint="eastAsia" w:ascii="宋体" w:hAnsi="宋体" w:cs="Times New Roman"/>
          <w:sz w:val="28"/>
          <w:szCs w:val="28"/>
          <w:highlight w:val="none"/>
        </w:rPr>
        <w:t xml:space="preserve"> </w:t>
      </w:r>
      <w:r>
        <w:rPr>
          <w:rFonts w:ascii="宋体" w:hAnsi="宋体" w:cs="Times New Roman"/>
          <w:sz w:val="28"/>
          <w:szCs w:val="28"/>
          <w:highlight w:val="none"/>
        </w:rPr>
        <w:t xml:space="preserve">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 xml:space="preserve">小时内通知甲方，由甲方会同设计等有关部门研究确定后 </w:t>
      </w:r>
      <w:r>
        <w:rPr>
          <w:rFonts w:hint="eastAsia" w:ascii="宋体" w:hAnsi="宋体" w:cs="Times New Roman"/>
          <w:sz w:val="28"/>
          <w:szCs w:val="28"/>
          <w:highlight w:val="none"/>
          <w:lang w:val="en-US" w:eastAsia="zh-CN"/>
        </w:rPr>
        <w:t>12</w:t>
      </w:r>
      <w:r>
        <w:rPr>
          <w:rFonts w:ascii="宋体" w:hAnsi="宋体" w:cs="Times New Roman"/>
          <w:sz w:val="28"/>
          <w:szCs w:val="28"/>
          <w:highlight w:val="none"/>
        </w:rPr>
        <w:t>小时内将修改意见或变更设计文件提交乙方，乙方按修改或变更设计文件进行施工，由此增减的费用</w:t>
      </w:r>
      <w:r>
        <w:rPr>
          <w:rFonts w:hint="eastAsia" w:ascii="宋体" w:hAnsi="宋体" w:cs="Times New Roman"/>
          <w:sz w:val="28"/>
          <w:szCs w:val="28"/>
          <w:highlight w:val="none"/>
          <w:lang w:val="en-US" w:eastAsia="zh-CN"/>
        </w:rPr>
        <w:t>由甲乙双方协商</w:t>
      </w:r>
      <w:r>
        <w:rPr>
          <w:rFonts w:ascii="宋体" w:hAnsi="宋体" w:cs="Times New Roman"/>
          <w:sz w:val="28"/>
          <w:szCs w:val="28"/>
          <w:highlight w:val="none"/>
        </w:rPr>
        <w:t>。</w:t>
      </w:r>
    </w:p>
    <w:p w14:paraId="151A54A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 工程质量和验收</w:t>
      </w:r>
    </w:p>
    <w:p w14:paraId="534CC06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 工程质量规范和工程等级</w:t>
      </w:r>
    </w:p>
    <w:p w14:paraId="1A74B1A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工程质量规范</w:t>
      </w:r>
    </w:p>
    <w:p w14:paraId="1C5786D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符合NB/T33004-2020《电动汽车充换电设施工程施工和竣工验收规范》以及其它与本项目相关</w:t>
      </w:r>
      <w:r>
        <w:rPr>
          <w:rFonts w:hint="eastAsia" w:ascii="宋体" w:hAnsi="宋体" w:cs="Times New Roman"/>
          <w:sz w:val="28"/>
          <w:szCs w:val="28"/>
          <w:highlight w:val="none"/>
        </w:rPr>
        <w:t>的</w:t>
      </w:r>
      <w:r>
        <w:rPr>
          <w:rFonts w:ascii="宋体" w:hAnsi="宋体" w:cs="Times New Roman"/>
          <w:sz w:val="28"/>
          <w:szCs w:val="28"/>
          <w:highlight w:val="none"/>
        </w:rPr>
        <w:t>行业现行质量验收合格标准。</w:t>
      </w:r>
    </w:p>
    <w:p w14:paraId="50305B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工程质量等级</w:t>
      </w:r>
    </w:p>
    <w:p w14:paraId="7479E30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本工程质量等级达到</w:t>
      </w:r>
      <w:r>
        <w:rPr>
          <w:rFonts w:ascii="宋体" w:hAnsi="宋体" w:cs="Times New Roman"/>
          <w:sz w:val="28"/>
          <w:szCs w:val="28"/>
          <w:highlight w:val="none"/>
          <w:u w:val="single"/>
        </w:rPr>
        <w:t xml:space="preserve"> 合格 </w:t>
      </w:r>
      <w:r>
        <w:rPr>
          <w:rFonts w:ascii="宋体" w:hAnsi="宋体" w:cs="Times New Roman"/>
          <w:sz w:val="28"/>
          <w:szCs w:val="28"/>
          <w:highlight w:val="none"/>
        </w:rPr>
        <w:t>标准。</w:t>
      </w:r>
    </w:p>
    <w:p w14:paraId="4B39C6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 工程质量应当达到协议书约定的质量标准，质量标准的评定以国家或行业的质量检验评定标准为依据。因乙方原因工程质量达不到约定的质量标准，乙方承担违约责任。</w:t>
      </w:r>
    </w:p>
    <w:p w14:paraId="462FA0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10.2.1 甲方发现乙方使用不合格（包括质量不合格及假冒伪劣产生）或未经批准的材料，每发现一次，甲方对乙方处以5000元整的违约金，乙方应立即更换符合本合同约定的合格材料，且工期不顺延。</w:t>
      </w:r>
    </w:p>
    <w:p w14:paraId="17835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10.2.2 因乙方原因出现质量事故，乙方应对工程进行修复。且除按国家、地方有关法律法规处罚外，每出现一次，甲方</w:t>
      </w:r>
      <w:r>
        <w:rPr>
          <w:rFonts w:ascii="宋体" w:hAnsi="宋体" w:cs="Times New Roman"/>
          <w:sz w:val="28"/>
          <w:szCs w:val="28"/>
          <w:highlight w:val="none"/>
          <w:lang w:val="zh-CN"/>
        </w:rPr>
        <w:t>对乙方处以</w:t>
      </w:r>
      <w:r>
        <w:rPr>
          <w:rFonts w:ascii="宋体" w:hAnsi="宋体" w:cs="Times New Roman"/>
          <w:sz w:val="28"/>
          <w:szCs w:val="28"/>
          <w:highlight w:val="none"/>
        </w:rPr>
        <w:t>1万元的违约金。若出现重大质量事故，乙方负责赔偿因此给甲方、第</w:t>
      </w:r>
      <w:r>
        <w:rPr>
          <w:rFonts w:hint="eastAsia" w:ascii="宋体" w:hAnsi="宋体" w:cs="Times New Roman"/>
          <w:sz w:val="28"/>
          <w:szCs w:val="28"/>
          <w:highlight w:val="none"/>
        </w:rPr>
        <w:t>三方</w:t>
      </w:r>
      <w:r>
        <w:rPr>
          <w:rFonts w:ascii="宋体" w:hAnsi="宋体" w:cs="Times New Roman"/>
          <w:sz w:val="28"/>
          <w:szCs w:val="28"/>
          <w:highlight w:val="none"/>
        </w:rPr>
        <w:t>造成的一切损失，且甲方有权</w:t>
      </w:r>
      <w:r>
        <w:rPr>
          <w:rFonts w:hint="eastAsia" w:ascii="宋体" w:hAnsi="宋体" w:cs="Times New Roman"/>
          <w:sz w:val="28"/>
          <w:szCs w:val="28"/>
          <w:highlight w:val="none"/>
        </w:rPr>
        <w:t>解除</w:t>
      </w:r>
      <w:r>
        <w:rPr>
          <w:rFonts w:ascii="宋体" w:hAnsi="宋体" w:cs="Times New Roman"/>
          <w:sz w:val="28"/>
          <w:szCs w:val="28"/>
          <w:highlight w:val="none"/>
        </w:rPr>
        <w:t>合同，并要求乙方支付合同暂定总金额</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0%的违约金。</w:t>
      </w:r>
    </w:p>
    <w:p w14:paraId="305400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10.2.3 乙方在施工过程中未按相关规范、标准、图纸进行操作，每出现一次，甲方向乙方收取违约金3000-5000元。</w:t>
      </w:r>
    </w:p>
    <w:p w14:paraId="2B8E966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10.3</w:t>
      </w:r>
      <w:r>
        <w:rPr>
          <w:rFonts w:hint="eastAsia" w:ascii="宋体" w:hAnsi="宋体" w:cs="Times New Roman"/>
          <w:sz w:val="28"/>
          <w:szCs w:val="28"/>
          <w:highlight w:val="none"/>
        </w:rPr>
        <w:t>.1材料管理:每批材料进场前最少24小时通知甲方和监理进行材料报验。乙方对材料进场全数自检，并留数据照片。通知监理进行抽检、对进场材料见证取样。</w:t>
      </w:r>
    </w:p>
    <w:p w14:paraId="27925AD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10.3.2</w:t>
      </w:r>
      <w:r>
        <w:rPr>
          <w:rFonts w:ascii="宋体" w:hAnsi="宋体" w:cs="Times New Roman"/>
          <w:sz w:val="28"/>
          <w:szCs w:val="28"/>
          <w:highlight w:val="none"/>
        </w:rPr>
        <w:t>双方对工程质量</w:t>
      </w:r>
      <w:r>
        <w:rPr>
          <w:rFonts w:hint="eastAsia" w:ascii="宋体" w:hAnsi="宋体" w:cs="Times New Roman"/>
          <w:sz w:val="28"/>
          <w:szCs w:val="28"/>
          <w:highlight w:val="none"/>
        </w:rPr>
        <w:t>或材料质量</w:t>
      </w:r>
      <w:r>
        <w:rPr>
          <w:rFonts w:ascii="宋体" w:hAnsi="宋体" w:cs="Times New Roman"/>
          <w:sz w:val="28"/>
          <w:szCs w:val="28"/>
          <w:highlight w:val="none"/>
        </w:rPr>
        <w:t>有争议，由双方同意的质量检测机构鉴定，所需费用及因此造成的损失，由责任方承担。双方均有责任的，由双方根据其责任分别承担。</w:t>
      </w:r>
    </w:p>
    <w:p w14:paraId="0F35D7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 质量检查的职责和权力</w:t>
      </w:r>
    </w:p>
    <w:p w14:paraId="156E7C3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10.4.1 乙方的质量管理</w:t>
      </w:r>
    </w:p>
    <w:p w14:paraId="569614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建立和健全质量保证体系，在工地设置专门的质量检查机构，配备专职的质量检查人员，建立完善的质量检查制度。乙方应在签订合同后5天内，向甲方报送一份内容包括质量检查机构的组织和岗位责任及质检人员的组成、质量检查程序和实施细则等的工程质量保证措施报告，报送甲方审批。</w:t>
      </w:r>
    </w:p>
    <w:p w14:paraId="418D25D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10.4.2 乙方的质量检查职责</w:t>
      </w:r>
    </w:p>
    <w:p w14:paraId="6DF956A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（1）乙方应严格按本条的规定和甲方的指示，对工程使用的材料和工程设备以及工程的所有部位及其施工工艺，进行全过程的质量检查，详细</w:t>
      </w:r>
      <w:r>
        <w:rPr>
          <w:rFonts w:hint="eastAsia" w:ascii="宋体" w:hAnsi="宋体" w:cs="Times New Roman"/>
          <w:sz w:val="28"/>
          <w:szCs w:val="28"/>
          <w:highlight w:val="none"/>
        </w:rPr>
        <w:t>做好</w:t>
      </w:r>
      <w:r>
        <w:rPr>
          <w:rFonts w:ascii="宋体" w:hAnsi="宋体" w:cs="Times New Roman"/>
          <w:sz w:val="28"/>
          <w:szCs w:val="28"/>
          <w:highlight w:val="none"/>
        </w:rPr>
        <w:t xml:space="preserve">质量检查记录，编制工程质量报表，定期提交甲方审查。  </w:t>
      </w:r>
    </w:p>
    <w:p w14:paraId="1AC1955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（2）依据设计文件的要求，本工程项目的材料、设备、施工须达到现行中华人民共和国以及省、自治区、直辖市或行业的工程建设标准、规范的要求。</w:t>
      </w:r>
    </w:p>
    <w:p w14:paraId="663ADA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（3）同类设备或材料应为相同厂家生产的同一品牌。</w:t>
      </w:r>
    </w:p>
    <w:p w14:paraId="44D10B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 现场试验</w:t>
      </w:r>
    </w:p>
    <w:p w14:paraId="208F88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10.5.1 现场材料试验</w:t>
      </w:r>
    </w:p>
    <w:p w14:paraId="3B83142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甲方在质量检查和检验过程中若需抽样试验，所需试件应由乙方提供，甲方可以使用乙方的试验设备，乙方应予协助。上述试验所需提供的试件和甲方使用试验设备所需的费用由乙方承担。</w:t>
      </w:r>
    </w:p>
    <w:p w14:paraId="3CA939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10.5.2 现场工艺试验</w:t>
      </w:r>
    </w:p>
    <w:p w14:paraId="18E648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乙方应按合同规定和甲方的指示进行现场工艺试验，除合同另有规定外，其所需费用由乙方承担。在施工过程中，若甲方要求乙方进行额外的现场工艺试验时，乙方应遵照执行，所需费用</w:t>
      </w:r>
      <w:r>
        <w:rPr>
          <w:rFonts w:hint="eastAsia" w:ascii="宋体" w:hAnsi="宋体" w:cs="Times New Roman"/>
          <w:sz w:val="28"/>
          <w:szCs w:val="28"/>
          <w:highlight w:val="none"/>
          <w:lang w:val="en-US" w:eastAsia="zh-CN"/>
        </w:rPr>
        <w:t>按第7.4.4款规定</w:t>
      </w:r>
      <w:r>
        <w:rPr>
          <w:rFonts w:ascii="宋体" w:hAnsi="宋体" w:cs="Times New Roman"/>
          <w:sz w:val="28"/>
          <w:szCs w:val="28"/>
          <w:highlight w:val="none"/>
        </w:rPr>
        <w:t>承担，影响的工期应予以合理补偿。</w:t>
      </w:r>
    </w:p>
    <w:p w14:paraId="30A4EC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 隐蔽工程和工程的隐蔽部位</w:t>
      </w:r>
    </w:p>
    <w:p w14:paraId="6B95B5D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10.6.1 覆盖前的检查</w:t>
      </w:r>
    </w:p>
    <w:p w14:paraId="4D53B42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隐蔽工程和工程的隐蔽部位经乙方的自检确认具备覆盖条件后的24小时内，乙方应</w:t>
      </w:r>
      <w:r>
        <w:rPr>
          <w:rFonts w:hint="eastAsia" w:ascii="宋体" w:hAnsi="宋体" w:cs="Times New Roman"/>
          <w:sz w:val="28"/>
          <w:szCs w:val="28"/>
          <w:highlight w:val="none"/>
        </w:rPr>
        <w:t>书面</w:t>
      </w:r>
      <w:r>
        <w:rPr>
          <w:rFonts w:ascii="宋体" w:hAnsi="宋体" w:cs="Times New Roman"/>
          <w:sz w:val="28"/>
          <w:szCs w:val="28"/>
          <w:highlight w:val="none"/>
        </w:rPr>
        <w:t>通知甲方</w:t>
      </w:r>
      <w:r>
        <w:rPr>
          <w:rFonts w:hint="eastAsia" w:ascii="宋体" w:hAnsi="宋体" w:cs="Times New Roman"/>
          <w:sz w:val="28"/>
          <w:szCs w:val="28"/>
          <w:highlight w:val="none"/>
        </w:rPr>
        <w:t>及监理单位</w:t>
      </w:r>
      <w:r>
        <w:rPr>
          <w:rFonts w:ascii="宋体" w:hAnsi="宋体" w:cs="Times New Roman"/>
          <w:sz w:val="28"/>
          <w:szCs w:val="28"/>
          <w:highlight w:val="none"/>
        </w:rPr>
        <w:t>进行检查，通知应按规定的格式说明检查地点、内容和检查时间，并附有乙方自检记录和必要的检查数据。甲方</w:t>
      </w:r>
      <w:r>
        <w:rPr>
          <w:rFonts w:hint="eastAsia" w:ascii="宋体" w:hAnsi="宋体" w:cs="Times New Roman"/>
          <w:sz w:val="28"/>
          <w:szCs w:val="28"/>
          <w:highlight w:val="none"/>
        </w:rPr>
        <w:t>和监理单位</w:t>
      </w:r>
      <w:r>
        <w:rPr>
          <w:rFonts w:ascii="宋体" w:hAnsi="宋体" w:cs="Times New Roman"/>
          <w:sz w:val="28"/>
          <w:szCs w:val="28"/>
          <w:highlight w:val="none"/>
        </w:rPr>
        <w:t>应按通知约定的时间派员到场进行检查，在确认质量符合要求，并在检查记录上签字后，乙方才能进行覆盖。</w:t>
      </w:r>
    </w:p>
    <w:p w14:paraId="1B4FCF9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10.6.2 甲方未到场检查</w:t>
      </w:r>
    </w:p>
    <w:p w14:paraId="7B49C9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甲方应在约定的时间内到场进行隐蔽工程和工程隐蔽部位的检查，不得无故缺席或拖延。若甲方未及时派员到场检查，造成工期延误，乙方有权要求甲方延长工期</w:t>
      </w:r>
      <w:r>
        <w:rPr>
          <w:rFonts w:hint="eastAsia" w:ascii="宋体" w:hAnsi="宋体" w:cs="Times New Roman"/>
          <w:sz w:val="28"/>
          <w:szCs w:val="28"/>
          <w:highlight w:val="none"/>
          <w:lang w:val="en-US" w:eastAsia="zh-CN"/>
        </w:rPr>
        <w:t>，由此产生的费用由甲乙双方协商解决</w:t>
      </w:r>
      <w:r>
        <w:rPr>
          <w:rFonts w:ascii="宋体" w:hAnsi="宋体" w:cs="Times New Roman"/>
          <w:sz w:val="28"/>
          <w:szCs w:val="28"/>
          <w:highlight w:val="none"/>
        </w:rPr>
        <w:t>。</w:t>
      </w:r>
    </w:p>
    <w:p w14:paraId="53BD8AF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10.6.3 重新检查</w:t>
      </w:r>
    </w:p>
    <w:p w14:paraId="3916DD9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对隐蔽工程或工程的隐蔽部位按第10.6.1款规定进行检查并覆盖后，若甲方事后对质量有怀疑，可要求乙方对己覆盖的部位进行钻孔探测以致揭开重新检验，乙方应遵照执行。</w:t>
      </w:r>
      <w:r>
        <w:rPr>
          <w:rFonts w:hint="eastAsia" w:ascii="宋体" w:hAnsi="宋体" w:cs="Times New Roman"/>
          <w:sz w:val="28"/>
          <w:szCs w:val="28"/>
          <w:highlight w:val="none"/>
        </w:rPr>
        <w:t>经检查证明工程质量符合合同要求的，由甲方承担由此增加的费用和（或）延误的工期；经检查证明工程质量不符合合同要求的，由此增加的费用和（或）延误的工期由乙方承担</w:t>
      </w:r>
      <w:r>
        <w:rPr>
          <w:rFonts w:ascii="宋体" w:hAnsi="宋体" w:cs="Times New Roman"/>
          <w:sz w:val="28"/>
          <w:szCs w:val="28"/>
          <w:highlight w:val="none"/>
        </w:rPr>
        <w:t>。</w:t>
      </w:r>
    </w:p>
    <w:p w14:paraId="1D209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10.6.4 乙方私自覆盖</w:t>
      </w:r>
    </w:p>
    <w:p w14:paraId="1223E64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乙方未及时通知甲方</w:t>
      </w:r>
      <w:r>
        <w:rPr>
          <w:rFonts w:hint="eastAsia" w:ascii="宋体" w:hAnsi="宋体" w:cs="Times New Roman"/>
          <w:sz w:val="28"/>
          <w:szCs w:val="28"/>
          <w:highlight w:val="none"/>
        </w:rPr>
        <w:t>及监理单位</w:t>
      </w:r>
      <w:r>
        <w:rPr>
          <w:rFonts w:ascii="宋体" w:hAnsi="宋体" w:cs="Times New Roman"/>
          <w:sz w:val="28"/>
          <w:szCs w:val="28"/>
          <w:highlight w:val="none"/>
        </w:rPr>
        <w:t>到场检查，私自将隐蔽部位覆盖，甲方有权要求乙方采用钻孔探测以至揭开进行检查，由此增加的所有费用和工期延误责任由乙方承担。</w:t>
      </w:r>
    </w:p>
    <w:p w14:paraId="4B0CAE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10.7 乙方不进行检查和检验的补救办法</w:t>
      </w:r>
    </w:p>
    <w:p w14:paraId="0C3B47E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按第7.4款的规定完成甲方指示的检查和检验工作，甲方可以指派自己的人员或委托其它有资质的检验机构或人员进行检查和检验，乙方不得拒绝，并应提供一切方便。由此增加的费用和工期延误责任由乙方承担。</w:t>
      </w:r>
    </w:p>
    <w:p w14:paraId="0CBC1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 测量放线</w:t>
      </w:r>
    </w:p>
    <w:p w14:paraId="7C999B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10.8.1 施工控制网</w:t>
      </w:r>
    </w:p>
    <w:p w14:paraId="7831A5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(1)甲方应向乙方提供测量基准点、基准线和水准点及其书面资料。乙方应根据上述基准点（线）以及国家测绘标准和本工程精度要求，测设自己的施工控制网，并将施工控制网数据报送甲方审批。</w:t>
      </w:r>
    </w:p>
    <w:p w14:paraId="53F3C7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(2)乙方应负责管理好施工控制网点，若有丢失或损坏，应及时修复，其所需的管理和修复费用由乙方承担。工程竣工后应完好地移交给甲方。</w:t>
      </w:r>
    </w:p>
    <w:p w14:paraId="22E1BE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10.8.2 施工测量</w:t>
      </w:r>
    </w:p>
    <w:p w14:paraId="6A43D1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(1)乙方应负责施工过程中的全部施工测量放线工作，并应自行配置合格的人员、仪器、设备和其它物品。</w:t>
      </w:r>
    </w:p>
    <w:p w14:paraId="3D8EF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(2)甲方有权指示乙方在甲方监督下进行抽样复测，当复测中发现有错误时，乙方必须按甲方指示进行修正或补测，甲方将不再支付上述增加的复测费用。</w:t>
      </w:r>
    </w:p>
    <w:p w14:paraId="5B2E883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10.8.3 甲方使用施工控制网</w:t>
      </w:r>
    </w:p>
    <w:p w14:paraId="72DBE68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甲方可以使用本合同的施工控制网，乙方应及时提供必要的协助，甲方亦不再为此另行支付费用。</w:t>
      </w:r>
    </w:p>
    <w:p w14:paraId="0E828B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10.9 补充地质勘探</w:t>
      </w:r>
    </w:p>
    <w:p w14:paraId="1D5CD7B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合同实施期间，甲方可以指示乙方进行必要的补充地质勘探和提供有关资料；乙方为本合同永久工程的施工需要进行补充地质勘探时，须经甲方书面批准，并应向甲方提交有关资料，上述补充勘探的费用由甲方承担。乙方为其临时工程所需进行的补充地质勘探，其费用由乙方承担。</w:t>
      </w:r>
    </w:p>
    <w:p w14:paraId="59995A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 工程试车</w:t>
      </w:r>
    </w:p>
    <w:p w14:paraId="3A533A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10.10.1 在设备安装前 24 小时内，乙方必须会同甲方、设计单位</w:t>
      </w:r>
      <w:r>
        <w:rPr>
          <w:rFonts w:hint="eastAsia" w:ascii="宋体" w:hAnsi="宋体" w:cs="Times New Roman"/>
          <w:sz w:val="28"/>
          <w:szCs w:val="28"/>
          <w:highlight w:val="none"/>
        </w:rPr>
        <w:t>、监理单位</w:t>
      </w:r>
      <w:r>
        <w:rPr>
          <w:rFonts w:ascii="宋体" w:hAnsi="宋体" w:cs="Times New Roman"/>
          <w:sz w:val="28"/>
          <w:szCs w:val="28"/>
          <w:highlight w:val="none"/>
        </w:rPr>
        <w:t>对设备、结构、几何尺寸进行检查，并对基础上的轴线、标高进行复核，同时办理隐蔽工程验收和中间交工手续。设备安装应按照安装的次序及施工进度陆续组织设备进场，并在安装前由甲乙双方共同开箱清点，做好记录。安装验收后，将有关技术资料、专用工具和随机配件交给甲方，工程师在验收单上签字。</w:t>
      </w:r>
    </w:p>
    <w:p w14:paraId="68B93A6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10.10.2 联动设备的单机试运转工作由乙方负责组织</w:t>
      </w:r>
      <w:r>
        <w:rPr>
          <w:rFonts w:hint="eastAsia" w:ascii="宋体" w:hAnsi="宋体" w:cs="Times New Roman"/>
          <w:sz w:val="28"/>
          <w:szCs w:val="28"/>
          <w:highlight w:val="none"/>
        </w:rPr>
        <w:t>，</w:t>
      </w:r>
      <w:r>
        <w:rPr>
          <w:rFonts w:ascii="宋体" w:hAnsi="宋体" w:cs="Times New Roman"/>
          <w:sz w:val="28"/>
          <w:szCs w:val="28"/>
          <w:highlight w:val="none"/>
        </w:rPr>
        <w:t>并在试车前 48 小时内将试车内容、时间、地点以书面形式通知甲方，由工程师在试车记录上签字；联合试运转由甲方组织，乙方配合进行，其费用按有关规定执行。</w:t>
      </w:r>
    </w:p>
    <w:p w14:paraId="4D16EB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 竣工验收</w:t>
      </w:r>
    </w:p>
    <w:p w14:paraId="27BB6FB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10.11.1 工程竣工后 5日内，乙方按本合同相关标准，向甲方提供完整竣工资料及验收报告。甲方在收到竣工验收报告3日内组织有关单位根据约定的工程质量规范进行验收。验收后 3日予以认可或提出修改意见。对甲方提出的修改意见，乙方应在 7日内整改完毕，并承担由自身原因造成的整改费用；</w:t>
      </w:r>
    </w:p>
    <w:p w14:paraId="7634F66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10.11.2 甲方收到竣工验收报告 3日内</w:t>
      </w:r>
      <w:r>
        <w:rPr>
          <w:rFonts w:hint="eastAsia" w:ascii="宋体" w:hAnsi="宋体" w:cs="Times New Roman"/>
          <w:sz w:val="28"/>
          <w:szCs w:val="28"/>
          <w:highlight w:val="none"/>
          <w:lang w:val="en-US" w:eastAsia="zh-CN"/>
        </w:rPr>
        <w:t>未</w:t>
      </w:r>
      <w:r>
        <w:rPr>
          <w:rFonts w:ascii="宋体" w:hAnsi="宋体" w:cs="Times New Roman"/>
          <w:sz w:val="28"/>
          <w:szCs w:val="28"/>
          <w:highlight w:val="none"/>
        </w:rPr>
        <w:t>组织验收或验收后 3日不提出修改意见，视为工程竣工验收合格。</w:t>
      </w:r>
    </w:p>
    <w:p w14:paraId="0EE139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10.11.3 工程竣工后 28天内乙方应绘制竣工图一式 3份，工程变更不大的由乙方在原施工图上加注核定单编号，提交甲方存档。其它交工资料的内容与份数按有关规定整理提交给甲方。</w:t>
      </w:r>
    </w:p>
    <w:p w14:paraId="066026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10.11.4 乙方负责整理和提交的竣工验收资料应当符合工程所在地建设行政主管部门或城市建设档案管理机构有关施工资料的要求。</w:t>
      </w:r>
    </w:p>
    <w:p w14:paraId="56B635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 质量保修</w:t>
      </w:r>
    </w:p>
    <w:p w14:paraId="0D11D8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 质量保证金</w:t>
      </w:r>
    </w:p>
    <w:p w14:paraId="12483EDD">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10.12.1.1 质量保证金的</w:t>
      </w:r>
      <w:r>
        <w:rPr>
          <w:rFonts w:hint="eastAsia" w:ascii="宋体" w:hAnsi="宋体" w:cs="Times New Roman"/>
          <w:sz w:val="28"/>
          <w:szCs w:val="28"/>
          <w:highlight w:val="none"/>
        </w:rPr>
        <w:t>金额</w:t>
      </w:r>
    </w:p>
    <w:p w14:paraId="49C03F86">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质保金金额为</w:t>
      </w:r>
      <w:r>
        <w:rPr>
          <w:rFonts w:ascii="宋体" w:hAnsi="宋体" w:cs="Times New Roman"/>
          <w:sz w:val="28"/>
          <w:szCs w:val="28"/>
          <w:highlight w:val="none"/>
        </w:rPr>
        <w:t>经甲方委托的</w:t>
      </w:r>
      <w:r>
        <w:rPr>
          <w:rFonts w:hint="eastAsia" w:ascii="宋体" w:hAnsi="宋体" w:cs="Times New Roman"/>
          <w:sz w:val="28"/>
          <w:szCs w:val="28"/>
          <w:highlight w:val="none"/>
        </w:rPr>
        <w:t>造价咨询</w:t>
      </w:r>
      <w:r>
        <w:rPr>
          <w:rFonts w:ascii="宋体" w:hAnsi="宋体" w:cs="Times New Roman"/>
          <w:sz w:val="28"/>
          <w:szCs w:val="28"/>
          <w:highlight w:val="none"/>
        </w:rPr>
        <w:t>单位</w:t>
      </w:r>
      <w:r>
        <w:rPr>
          <w:rFonts w:hint="eastAsia" w:ascii="宋体" w:hAnsi="宋体" w:cs="Times New Roman"/>
          <w:sz w:val="28"/>
          <w:szCs w:val="28"/>
          <w:highlight w:val="none"/>
        </w:rPr>
        <w:t>审定后的</w:t>
      </w:r>
      <w:r>
        <w:rPr>
          <w:rFonts w:ascii="宋体" w:hAnsi="宋体" w:cs="Times New Roman"/>
          <w:sz w:val="28"/>
          <w:szCs w:val="28"/>
          <w:highlight w:val="none"/>
        </w:rPr>
        <w:t>工程竣工结算审定价款的</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w:t>
      </w:r>
    </w:p>
    <w:p w14:paraId="69D3DF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10.12.1.2 </w:t>
      </w:r>
      <w:r>
        <w:rPr>
          <w:rFonts w:hint="eastAsia" w:ascii="宋体" w:hAnsi="宋体" w:cs="Times New Roman"/>
          <w:sz w:val="28"/>
          <w:szCs w:val="28"/>
          <w:highlight w:val="none"/>
        </w:rPr>
        <w:t>质量</w:t>
      </w:r>
      <w:r>
        <w:rPr>
          <w:rFonts w:ascii="宋体" w:hAnsi="宋体" w:cs="Times New Roman"/>
          <w:sz w:val="28"/>
          <w:szCs w:val="28"/>
          <w:highlight w:val="none"/>
        </w:rPr>
        <w:t>保证金的缴纳方式</w:t>
      </w:r>
    </w:p>
    <w:p w14:paraId="47860C6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乙方采用现金形式缴纳质量保证金，质量保证金在甲方向乙方支付审定结算价款的尾款时一次性扣除。</w:t>
      </w:r>
    </w:p>
    <w:p w14:paraId="70064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10.12.1.3质量保证金的返还</w:t>
      </w:r>
    </w:p>
    <w:p w14:paraId="72A111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（1）在</w:t>
      </w:r>
      <w:r>
        <w:rPr>
          <w:rFonts w:hint="eastAsia" w:ascii="宋体" w:hAnsi="宋体" w:cs="Times New Roman"/>
          <w:sz w:val="28"/>
          <w:szCs w:val="28"/>
          <w:highlight w:val="none"/>
        </w:rPr>
        <w:t>缺陷责任期</w:t>
      </w:r>
      <w:r>
        <w:rPr>
          <w:rFonts w:ascii="宋体" w:hAnsi="宋体" w:cs="Times New Roman"/>
          <w:sz w:val="28"/>
          <w:szCs w:val="28"/>
          <w:highlight w:val="none"/>
        </w:rPr>
        <w:t>满后，乙方向甲方申请到期应返还乙方剩余的质量保证金金额，甲方应在</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天内会同乙方按照合同约定的内容核实乙方是否完成缺陷责任。如无异议，甲方应当在核实后将剩余保证金无息返还乙方。</w:t>
      </w:r>
    </w:p>
    <w:p w14:paraId="18937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（2）在</w:t>
      </w:r>
      <w:r>
        <w:rPr>
          <w:rFonts w:hint="eastAsia" w:ascii="宋体" w:hAnsi="宋体" w:cs="Times New Roman"/>
          <w:sz w:val="28"/>
          <w:szCs w:val="28"/>
          <w:highlight w:val="none"/>
        </w:rPr>
        <w:t>缺陷责任</w:t>
      </w:r>
      <w:r>
        <w:rPr>
          <w:rFonts w:ascii="宋体" w:hAnsi="宋体" w:cs="Times New Roman"/>
          <w:sz w:val="28"/>
          <w:szCs w:val="28"/>
          <w:highlight w:val="none"/>
        </w:rPr>
        <w:t xml:space="preserve">期乙方没有履行质保义务的，甲方有权扣留与未履行责任剩余工作所需金额相应的质量保证金余额。 </w:t>
      </w:r>
    </w:p>
    <w:p w14:paraId="7F3126D5">
      <w:pPr>
        <w:spacing w:line="600" w:lineRule="exact"/>
        <w:ind w:firstLine="560" w:firstLineChars="200"/>
        <w:rPr>
          <w:highlight w:val="none"/>
        </w:rPr>
      </w:pPr>
      <w:r>
        <w:rPr>
          <w:rFonts w:hint="eastAsia" w:cs="Times New Roman"/>
          <w:sz w:val="28"/>
          <w:szCs w:val="28"/>
          <w:highlight w:val="none"/>
        </w:rPr>
        <w:t>（3）</w:t>
      </w:r>
      <w:r>
        <w:rPr>
          <w:rFonts w:hint="eastAsia" w:ascii="宋体" w:hAnsi="宋体" w:cs="Times New Roman"/>
          <w:sz w:val="28"/>
          <w:szCs w:val="28"/>
          <w:highlight w:val="none"/>
        </w:rPr>
        <w:t>本项目缺陷责任</w:t>
      </w:r>
      <w:r>
        <w:rPr>
          <w:rFonts w:ascii="宋体" w:hAnsi="宋体" w:cs="Times New Roman"/>
          <w:sz w:val="28"/>
          <w:szCs w:val="28"/>
          <w:highlight w:val="none"/>
        </w:rPr>
        <w:t>期为</w:t>
      </w:r>
      <w:r>
        <w:rPr>
          <w:rFonts w:hint="eastAsia" w:ascii="宋体" w:hAnsi="宋体" w:cs="Times New Roman"/>
          <w:sz w:val="28"/>
          <w:szCs w:val="28"/>
          <w:highlight w:val="none"/>
        </w:rPr>
        <w:t>24</w:t>
      </w:r>
      <w:r>
        <w:rPr>
          <w:rFonts w:ascii="宋体" w:hAnsi="宋体" w:cs="Times New Roman"/>
          <w:sz w:val="28"/>
          <w:szCs w:val="28"/>
          <w:highlight w:val="none"/>
        </w:rPr>
        <w:t>个月，自工程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w:t>
      </w:r>
      <w:r>
        <w:rPr>
          <w:rFonts w:hint="eastAsia" w:ascii="宋体" w:hAnsi="宋体" w:cs="Times New Roman"/>
          <w:sz w:val="28"/>
          <w:szCs w:val="28"/>
          <w:highlight w:val="none"/>
        </w:rPr>
        <w:t>缺陷责任期满后，乙方的保修责任延续。</w:t>
      </w:r>
    </w:p>
    <w:p w14:paraId="5B37E412">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 xml:space="preserve">10.12.2 </w:t>
      </w:r>
      <w:r>
        <w:rPr>
          <w:rFonts w:hint="eastAsia" w:ascii="宋体" w:hAnsi="宋体" w:cs="Times New Roman"/>
          <w:sz w:val="28"/>
          <w:szCs w:val="28"/>
          <w:highlight w:val="none"/>
        </w:rPr>
        <w:t>质量保修期</w:t>
      </w:r>
    </w:p>
    <w:p w14:paraId="0901C10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10.12.2.1 </w:t>
      </w:r>
      <w:r>
        <w:rPr>
          <w:rFonts w:hint="eastAsia" w:ascii="宋体" w:hAnsi="宋体" w:cs="Times New Roman"/>
          <w:sz w:val="28"/>
          <w:szCs w:val="28"/>
          <w:highlight w:val="none"/>
        </w:rPr>
        <w:t>本项目质量保修期按《质量保修协议书》约定执行</w:t>
      </w:r>
      <w:r>
        <w:rPr>
          <w:rFonts w:ascii="宋体" w:hAnsi="宋体" w:cs="Times New Roman"/>
          <w:sz w:val="28"/>
          <w:szCs w:val="28"/>
          <w:highlight w:val="none"/>
        </w:rPr>
        <w:t>，自工程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证书中写明的全部工程竣工</w:t>
      </w:r>
      <w:r>
        <w:rPr>
          <w:rFonts w:hint="eastAsia" w:ascii="宋体" w:hAnsi="宋体" w:cs="Times New Roman"/>
          <w:sz w:val="28"/>
          <w:szCs w:val="28"/>
          <w:highlight w:val="none"/>
        </w:rPr>
        <w:t>验收合格之</w:t>
      </w:r>
      <w:r>
        <w:rPr>
          <w:rFonts w:ascii="宋体" w:hAnsi="宋体" w:cs="Times New Roman"/>
          <w:sz w:val="28"/>
          <w:szCs w:val="28"/>
          <w:highlight w:val="none"/>
        </w:rPr>
        <w:t>日开始算起。在全部工程竣工验收</w:t>
      </w:r>
      <w:r>
        <w:rPr>
          <w:rFonts w:hint="eastAsia" w:ascii="宋体" w:hAnsi="宋体" w:cs="Times New Roman"/>
          <w:sz w:val="28"/>
          <w:szCs w:val="28"/>
          <w:highlight w:val="none"/>
        </w:rPr>
        <w:t>合格</w:t>
      </w:r>
      <w:r>
        <w:rPr>
          <w:rFonts w:ascii="宋体" w:hAnsi="宋体" w:cs="Times New Roman"/>
          <w:sz w:val="28"/>
          <w:szCs w:val="28"/>
          <w:highlight w:val="none"/>
        </w:rPr>
        <w:t>前，已经甲方提前验收的单位工程或部分工程，若未投入正常使用，其</w:t>
      </w:r>
      <w:r>
        <w:rPr>
          <w:rFonts w:hint="eastAsia" w:ascii="宋体" w:hAnsi="宋体" w:cs="Times New Roman"/>
          <w:sz w:val="28"/>
          <w:szCs w:val="28"/>
          <w:highlight w:val="none"/>
        </w:rPr>
        <w:t>质量保修期</w:t>
      </w:r>
      <w:r>
        <w:rPr>
          <w:rFonts w:ascii="宋体" w:hAnsi="宋体" w:cs="Times New Roman"/>
          <w:sz w:val="28"/>
          <w:szCs w:val="28"/>
          <w:highlight w:val="none"/>
        </w:rPr>
        <w:t>亦按全部工程的竣工日开始算起。</w:t>
      </w:r>
    </w:p>
    <w:p w14:paraId="204192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10.12.3 保修责任</w:t>
      </w:r>
    </w:p>
    <w:p w14:paraId="695ED4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 </w:t>
      </w:r>
      <w:r>
        <w:rPr>
          <w:rFonts w:hint="eastAsia" w:ascii="宋体" w:hAnsi="宋体" w:cs="Times New Roman"/>
          <w:sz w:val="28"/>
          <w:szCs w:val="28"/>
          <w:highlight w:val="none"/>
        </w:rPr>
        <w:t>质量保修期</w:t>
      </w:r>
      <w:r>
        <w:rPr>
          <w:rFonts w:ascii="宋体" w:hAnsi="宋体" w:cs="Times New Roman"/>
          <w:sz w:val="28"/>
          <w:szCs w:val="28"/>
          <w:highlight w:val="none"/>
        </w:rPr>
        <w:t>内，乙方应负责未移交的工程和工程设备的全部日常维护和质量保修工作，对</w:t>
      </w:r>
      <w:r>
        <w:rPr>
          <w:rFonts w:hint="eastAsia" w:ascii="宋体" w:hAnsi="宋体" w:cs="Times New Roman"/>
          <w:sz w:val="28"/>
          <w:szCs w:val="28"/>
          <w:highlight w:val="none"/>
        </w:rPr>
        <w:t>已移交</w:t>
      </w:r>
      <w:r>
        <w:rPr>
          <w:rFonts w:ascii="宋体" w:hAnsi="宋体" w:cs="Times New Roman"/>
          <w:sz w:val="28"/>
          <w:szCs w:val="28"/>
          <w:highlight w:val="none"/>
        </w:rPr>
        <w:t>甲方使用的工程和工程设备，则由甲方负责日常维护工作，但乙方应</w:t>
      </w:r>
      <w:r>
        <w:rPr>
          <w:rFonts w:hint="eastAsia" w:ascii="宋体" w:hAnsi="宋体" w:cs="Times New Roman"/>
          <w:sz w:val="28"/>
          <w:szCs w:val="28"/>
          <w:highlight w:val="none"/>
        </w:rPr>
        <w:t>承担</w:t>
      </w:r>
      <w:r>
        <w:rPr>
          <w:rFonts w:hint="eastAsia" w:ascii="宋体" w:hAnsi="宋体" w:cs="Times New Roman"/>
          <w:sz w:val="28"/>
          <w:szCs w:val="28"/>
          <w:highlight w:val="none"/>
          <w:lang w:val="en-US" w:eastAsia="zh-CN"/>
        </w:rPr>
        <w:t>质量问题的</w:t>
      </w:r>
      <w:r>
        <w:rPr>
          <w:rFonts w:ascii="宋体" w:hAnsi="宋体" w:cs="Times New Roman"/>
          <w:sz w:val="28"/>
          <w:szCs w:val="28"/>
          <w:highlight w:val="none"/>
        </w:rPr>
        <w:t>修复</w:t>
      </w:r>
      <w:r>
        <w:rPr>
          <w:rFonts w:hint="eastAsia" w:ascii="宋体" w:hAnsi="宋体" w:cs="Times New Roman"/>
          <w:sz w:val="28"/>
          <w:szCs w:val="28"/>
          <w:highlight w:val="none"/>
        </w:rPr>
        <w:t>义务</w:t>
      </w:r>
      <w:r>
        <w:rPr>
          <w:rFonts w:ascii="宋体" w:hAnsi="宋体" w:cs="Times New Roman"/>
          <w:sz w:val="28"/>
          <w:szCs w:val="28"/>
          <w:highlight w:val="none"/>
        </w:rPr>
        <w:t>，直至经甲方检验合格为止。</w:t>
      </w:r>
    </w:p>
    <w:p w14:paraId="122D77E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（2）</w:t>
      </w:r>
      <w:r>
        <w:rPr>
          <w:rFonts w:ascii="宋体" w:hAnsi="宋体" w:cs="Times New Roman"/>
          <w:sz w:val="28"/>
          <w:szCs w:val="28"/>
          <w:highlight w:val="none"/>
        </w:rPr>
        <w:t>甲方在</w:t>
      </w:r>
      <w:r>
        <w:rPr>
          <w:rFonts w:hint="eastAsia" w:ascii="宋体" w:hAnsi="宋体" w:cs="Times New Roman"/>
          <w:sz w:val="28"/>
          <w:szCs w:val="28"/>
          <w:highlight w:val="none"/>
        </w:rPr>
        <w:t>质量保修期</w:t>
      </w:r>
      <w:r>
        <w:rPr>
          <w:rFonts w:ascii="宋体" w:hAnsi="宋体" w:cs="Times New Roman"/>
          <w:sz w:val="28"/>
          <w:szCs w:val="28"/>
          <w:highlight w:val="none"/>
        </w:rPr>
        <w:t>内使用工程和工程设备过程中，发现新的缺陷和损坏或原修复的缺陷部位或部件又遭损坏，则乙方应按甲方的指示负责修复，直至经甲方检验合格为止。甲方应会同甲方和乙方共同进行查验，若经查验确属由于乙方施工中隐存的或其它由于乙方责任造成的缺陷或损坏，应由乙方承担修复费用；若经查验确属甲方使用不当或其它由于甲方责任造成的缺陷或损坏，则应由甲方承担修复费用。</w:t>
      </w:r>
    </w:p>
    <w:p w14:paraId="4DB325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10.12.4 保修责任终止证书</w:t>
      </w:r>
    </w:p>
    <w:p w14:paraId="2EDED9D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在整个工程</w:t>
      </w:r>
      <w:r>
        <w:rPr>
          <w:rFonts w:hint="eastAsia" w:ascii="宋体" w:hAnsi="宋体" w:cs="Times New Roman"/>
          <w:sz w:val="28"/>
          <w:szCs w:val="28"/>
          <w:highlight w:val="none"/>
        </w:rPr>
        <w:t>质量保修期</w:t>
      </w:r>
      <w:r>
        <w:rPr>
          <w:rFonts w:ascii="宋体" w:hAnsi="宋体" w:cs="Times New Roman"/>
          <w:sz w:val="28"/>
          <w:szCs w:val="28"/>
          <w:highlight w:val="none"/>
        </w:rPr>
        <w:t>满后的</w:t>
      </w:r>
      <w:r>
        <w:rPr>
          <w:rFonts w:hint="eastAsia" w:ascii="宋体" w:hAnsi="宋体" w:cs="Times New Roman"/>
          <w:sz w:val="28"/>
          <w:szCs w:val="28"/>
          <w:highlight w:val="none"/>
          <w:lang w:val="en-US" w:eastAsia="zh-CN"/>
        </w:rPr>
        <w:t>28</w:t>
      </w:r>
      <w:r>
        <w:rPr>
          <w:rFonts w:ascii="宋体" w:hAnsi="宋体" w:cs="Times New Roman"/>
          <w:sz w:val="28"/>
          <w:szCs w:val="28"/>
          <w:highlight w:val="none"/>
        </w:rPr>
        <w:t>天内，由甲方签署和颁发保修责任终止证书给乙方。若</w:t>
      </w:r>
      <w:r>
        <w:rPr>
          <w:rFonts w:hint="eastAsia" w:ascii="宋体" w:hAnsi="宋体" w:cs="Times New Roman"/>
          <w:sz w:val="28"/>
          <w:szCs w:val="28"/>
          <w:highlight w:val="none"/>
        </w:rPr>
        <w:t>质量保修期</w:t>
      </w:r>
      <w:r>
        <w:rPr>
          <w:rFonts w:ascii="宋体" w:hAnsi="宋体" w:cs="Times New Roman"/>
          <w:sz w:val="28"/>
          <w:szCs w:val="28"/>
          <w:highlight w:val="none"/>
        </w:rPr>
        <w:t>满后还有缺陷未修补，则需待乙方按甲方的要求完成质量保修工作后，再颁发保修责任终止证书。尽管颁发了保修责任终止证书，甲方和乙方均仍应对保修责任终止证书颁发前尚未履行的义务和责任负责。</w:t>
      </w:r>
    </w:p>
    <w:p w14:paraId="39B47E2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11. </w:t>
      </w:r>
      <w:r>
        <w:rPr>
          <w:rFonts w:hint="eastAsia" w:ascii="宋体" w:hAnsi="宋体" w:cs="Times New Roman"/>
          <w:sz w:val="28"/>
          <w:szCs w:val="28"/>
          <w:highlight w:val="none"/>
        </w:rPr>
        <w:t>文明</w:t>
      </w:r>
      <w:r>
        <w:rPr>
          <w:rFonts w:ascii="宋体" w:hAnsi="宋体" w:cs="Times New Roman"/>
          <w:sz w:val="28"/>
          <w:szCs w:val="28"/>
          <w:highlight w:val="none"/>
        </w:rPr>
        <w:t>、安全</w:t>
      </w:r>
      <w:r>
        <w:rPr>
          <w:rFonts w:hint="eastAsia" w:ascii="宋体" w:hAnsi="宋体" w:cs="Times New Roman"/>
          <w:sz w:val="28"/>
          <w:szCs w:val="28"/>
          <w:highlight w:val="none"/>
        </w:rPr>
        <w:t>、防汛减灾、森林防火</w:t>
      </w:r>
      <w:r>
        <w:rPr>
          <w:rFonts w:ascii="宋体" w:hAnsi="宋体" w:cs="Times New Roman"/>
          <w:sz w:val="28"/>
          <w:szCs w:val="28"/>
          <w:highlight w:val="none"/>
        </w:rPr>
        <w:t>与环境保护</w:t>
      </w:r>
    </w:p>
    <w:p w14:paraId="364C4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 文明施工</w:t>
      </w:r>
    </w:p>
    <w:p w14:paraId="18853B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11.1.1 治安保卫</w:t>
      </w:r>
    </w:p>
    <w:p w14:paraId="1AAD8E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甲方和乙方应教育各自的人员遵纪守法，共同维护全工地的社会治安，协助现场治安管理机构，做好各自管辖区（包括施工工地和生活区）的治安保卫工作。</w:t>
      </w:r>
    </w:p>
    <w:p w14:paraId="45444F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11.1.2 施工安全</w:t>
      </w:r>
    </w:p>
    <w:p w14:paraId="13512EB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(1)乙方应遵守并执行甲方有关施工安全及施工现场管理的相关规定。</w:t>
      </w:r>
    </w:p>
    <w:p w14:paraId="52FC06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（2）乙方应负责统一管理本工程的施工作业安全以及消防、防汛和抗灾等工作。甲方应按有关</w:t>
      </w:r>
      <w:r>
        <w:rPr>
          <w:rFonts w:hint="eastAsia" w:ascii="宋体" w:hAnsi="宋体" w:cs="Times New Roman"/>
          <w:sz w:val="28"/>
          <w:szCs w:val="28"/>
          <w:highlight w:val="none"/>
        </w:rPr>
        <w:t>法律法规</w:t>
      </w:r>
      <w:r>
        <w:rPr>
          <w:rFonts w:ascii="宋体" w:hAnsi="宋体" w:cs="Times New Roman"/>
          <w:sz w:val="28"/>
          <w:szCs w:val="28"/>
          <w:highlight w:val="none"/>
        </w:rPr>
        <w:t>和规章以及本合同的有关规定，检查、监督施工安全工作的实施，乙方应认真执行甲方有关安全管理工作的指示。甲方在检查中发现施工中存在不安全因素，应及时指示乙方采取有效措施予以改正，若乙方故意延误或拒绝改正时，则甲方有权责令其停工整改。</w:t>
      </w:r>
    </w:p>
    <w:p w14:paraId="4AC58E4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按合同规定履行其安全职责。乙方应设置必要的安全管理机构和配备专职的安全人员，加强对施工作业安全的管理，特别应加强易燃、易爆材料、火工器材和爆破作业的管理，制定安全操作规程，配备必要的安全生产设施和劳动保护用具，并经常对其职工进行施工安全教育。</w:t>
      </w:r>
    </w:p>
    <w:p w14:paraId="0E3F6C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乙方应充分考虑施工现场居民的正常生活，制定专门措施保证居民的安全。如果乙方安全文明施工工作不合格，被甲方、行政主管部门查处，被市民、领导、媒体举报属实，每发生一次乙方向甲方支付违约金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000元，情节严重的甲方有权</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0E2943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安全文明施工、扬尘治理未达到省、市的有关规定要求，甲方有权暂不支付安全文明施工措施费，除乙方接受国家、地方相关部门处罚外，还需承担违约责任。若施工单位违反有关安全文明施工、扬尘治理的有关规定，每发现一次，甲方对乙方处以1万元整的违约金，情节严重的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156E6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若乙方违反有关安全文明施工、扬尘治理的有关规定，工地打围、沟槽开挖支护、防洪措施不到位、工地环境差，每发现一处乙方向甲方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C10EF2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若乙方野蛮施工挖断煤气、自来水管或造成通电、通气、通讯、通水线路中断，每发生一次乙方向甲方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000-</w:t>
      </w:r>
      <w:r>
        <w:rPr>
          <w:rFonts w:hint="eastAsia" w:ascii="宋体" w:hAnsi="宋体" w:cs="Times New Roman"/>
          <w:sz w:val="28"/>
          <w:szCs w:val="28"/>
          <w:highlight w:val="none"/>
          <w:lang w:val="en-US" w:eastAsia="zh-CN"/>
        </w:rPr>
        <w:t>6</w:t>
      </w:r>
      <w:r>
        <w:rPr>
          <w:rFonts w:ascii="宋体" w:hAnsi="宋体" w:cs="Times New Roman"/>
          <w:sz w:val="28"/>
          <w:szCs w:val="28"/>
          <w:highlight w:val="none"/>
        </w:rPr>
        <w:t>000元，并承担相应经济损失，情节严重的</w:t>
      </w:r>
      <w:r>
        <w:rPr>
          <w:rFonts w:hint="eastAsia" w:ascii="宋体" w:hAnsi="宋体" w:cs="Times New Roman"/>
          <w:sz w:val="28"/>
          <w:szCs w:val="28"/>
          <w:highlight w:val="none"/>
        </w:rPr>
        <w:t>甲方</w:t>
      </w:r>
      <w:r>
        <w:rPr>
          <w:rFonts w:ascii="宋体" w:hAnsi="宋体" w:cs="Times New Roman"/>
          <w:sz w:val="28"/>
          <w:szCs w:val="28"/>
          <w:highlight w:val="none"/>
        </w:rPr>
        <w:t>可</w:t>
      </w:r>
      <w:r>
        <w:rPr>
          <w:rFonts w:hint="eastAsia" w:ascii="宋体" w:hAnsi="宋体" w:cs="Times New Roman"/>
          <w:sz w:val="28"/>
          <w:szCs w:val="28"/>
          <w:highlight w:val="none"/>
        </w:rPr>
        <w:t>解除</w:t>
      </w:r>
      <w:r>
        <w:rPr>
          <w:rFonts w:ascii="宋体" w:hAnsi="宋体" w:cs="Times New Roman"/>
          <w:sz w:val="28"/>
          <w:szCs w:val="28"/>
          <w:highlight w:val="none"/>
        </w:rPr>
        <w:t>合同。</w:t>
      </w:r>
    </w:p>
    <w:p w14:paraId="348CAB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 乙方不按有关部门安全文明施工文件的规定执行，造成的一切损失和后果由乙方负责。</w:t>
      </w:r>
    </w:p>
    <w:p w14:paraId="4DD9A96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 环境保护</w:t>
      </w:r>
    </w:p>
    <w:p w14:paraId="30A9C19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11.2.1 环境保护责任</w:t>
      </w:r>
    </w:p>
    <w:p w14:paraId="3D6D4E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乙方在施工过程中，应遵守有关环境保护的</w:t>
      </w:r>
      <w:r>
        <w:rPr>
          <w:rFonts w:hint="eastAsia" w:ascii="宋体" w:hAnsi="宋体" w:cs="Times New Roman"/>
          <w:sz w:val="28"/>
          <w:szCs w:val="28"/>
          <w:highlight w:val="none"/>
        </w:rPr>
        <w:t>法律法规</w:t>
      </w:r>
      <w:r>
        <w:rPr>
          <w:rFonts w:ascii="宋体" w:hAnsi="宋体" w:cs="Times New Roman"/>
          <w:sz w:val="28"/>
          <w:szCs w:val="28"/>
          <w:highlight w:val="none"/>
        </w:rPr>
        <w:t>和规章及本合同的有关规定，并应对其违反上述法规</w:t>
      </w:r>
      <w:r>
        <w:rPr>
          <w:rFonts w:hint="eastAsia" w:ascii="宋体" w:hAnsi="宋体" w:cs="Times New Roman"/>
          <w:sz w:val="28"/>
          <w:szCs w:val="28"/>
          <w:highlight w:val="none"/>
          <w:lang w:val="en-US" w:eastAsia="zh-CN"/>
        </w:rPr>
        <w:t>和</w:t>
      </w:r>
      <w:r>
        <w:rPr>
          <w:rFonts w:ascii="宋体" w:hAnsi="宋体" w:cs="Times New Roman"/>
          <w:sz w:val="28"/>
          <w:szCs w:val="28"/>
          <w:highlight w:val="none"/>
        </w:rPr>
        <w:t>规章和本合同规定所造成的环境破坏以及人员伤害和财产损失负责。</w:t>
      </w:r>
    </w:p>
    <w:p w14:paraId="401D81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11.2.2 采取合理的措施保护环境</w:t>
      </w:r>
    </w:p>
    <w:p w14:paraId="4556AD7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乙方应在其编报的施工组织设计中，做好施工弃渣的处理措施，严格按批准的弃渣规划有序地堆放和利用弃渣，防止任意堆放弃渣降低河道的行洪能力和影响其它分包单位的施工和危及下游居民的安全。</w:t>
      </w:r>
    </w:p>
    <w:p w14:paraId="1E1888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乙方应按合同规定采取有效措施对施工开挖的边坡及时进行支护和做好排水措施，避免由于施工造成的水土流失。</w:t>
      </w:r>
    </w:p>
    <w:p w14:paraId="581F4D5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乙方在施工过程中应采取有效措施，注意保护饮用水源免受施工活动造成的污染。</w:t>
      </w:r>
    </w:p>
    <w:p w14:paraId="1FAA893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乙方应按相关规定，加强对噪声、粉尘、废气、废水的控制和治理，努力降低噪声，控制粉尘和废气浓度以及做好废水和废油的治理和排放。</w:t>
      </w:r>
    </w:p>
    <w:p w14:paraId="642EA8C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乙方应保持施工区和生活区的环境卫生，及时清除垃圾和废弃物，并运至指定的地点堆放和处理。进入现场的材料、设备必须置放有序，防止任意堆放器材、杂物阻塞工作场地周围的通道和破坏环境。</w:t>
      </w:r>
    </w:p>
    <w:p w14:paraId="34B97A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乙方应合理安排施工作业时间，尽量避免施工噪音、扬尘对居民正常生活的影响。</w:t>
      </w:r>
    </w:p>
    <w:p w14:paraId="3CF69F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3</w:t>
      </w:r>
      <w:r>
        <w:rPr>
          <w:rFonts w:ascii="宋体" w:hAnsi="宋体" w:cs="Times New Roman"/>
          <w:sz w:val="28"/>
          <w:szCs w:val="28"/>
          <w:highlight w:val="none"/>
        </w:rPr>
        <w:t xml:space="preserve"> </w:t>
      </w:r>
      <w:r>
        <w:rPr>
          <w:rFonts w:hint="eastAsia" w:ascii="宋体" w:hAnsi="宋体" w:cs="Times New Roman"/>
          <w:sz w:val="28"/>
          <w:szCs w:val="28"/>
          <w:highlight w:val="none"/>
        </w:rPr>
        <w:t>防汛减灾</w:t>
      </w:r>
    </w:p>
    <w:p w14:paraId="313B76A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11.3.1</w:t>
      </w:r>
      <w:r>
        <w:rPr>
          <w:rFonts w:ascii="宋体" w:hAnsi="宋体" w:cs="Times New Roman"/>
          <w:sz w:val="28"/>
          <w:szCs w:val="28"/>
          <w:highlight w:val="none"/>
        </w:rPr>
        <w:t>转移避险要求</w:t>
      </w:r>
    </w:p>
    <w:p w14:paraId="693CDF5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w:t>
      </w:r>
      <w:r>
        <w:rPr>
          <w:rFonts w:ascii="宋体" w:hAnsi="宋体" w:cs="Times New Roman"/>
          <w:sz w:val="28"/>
          <w:szCs w:val="28"/>
          <w:highlight w:val="none"/>
        </w:rPr>
        <w:t>健全完善转移避险决策机制，严格落实“3人1屋”制度。</w:t>
      </w:r>
      <w:r>
        <w:rPr>
          <w:rFonts w:hint="eastAsia" w:ascii="宋体" w:hAnsi="宋体" w:cs="Times New Roman"/>
          <w:sz w:val="28"/>
          <w:szCs w:val="28"/>
          <w:highlight w:val="none"/>
        </w:rPr>
        <w:t>凡涉及搭建</w:t>
      </w:r>
      <w:r>
        <w:rPr>
          <w:rFonts w:ascii="宋体" w:hAnsi="宋体" w:cs="Times New Roman"/>
          <w:sz w:val="28"/>
          <w:szCs w:val="28"/>
          <w:highlight w:val="none"/>
        </w:rPr>
        <w:t>工棚营地</w:t>
      </w:r>
      <w:r>
        <w:rPr>
          <w:rFonts w:hint="eastAsia" w:ascii="宋体" w:hAnsi="宋体" w:cs="Times New Roman"/>
          <w:sz w:val="28"/>
          <w:szCs w:val="28"/>
          <w:highlight w:val="none"/>
        </w:rPr>
        <w:t>的在建项目</w:t>
      </w:r>
      <w:r>
        <w:rPr>
          <w:rFonts w:ascii="宋体" w:hAnsi="宋体" w:cs="Times New Roman"/>
          <w:sz w:val="28"/>
          <w:szCs w:val="28"/>
          <w:highlight w:val="none"/>
        </w:rPr>
        <w:t>必须按照“AB”岗要求，逐一落实：转移避险“指挥责任人”、避险过程“监管责任人”、安置管理“责任人”（3人），建好安置过渡的“安全屋”（1屋），建立责任人清单台账，确保3类责任人汛期每天24小时在工地营地履职。</w:t>
      </w:r>
    </w:p>
    <w:p w14:paraId="5C1FDDE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一旦收到属地</w:t>
      </w:r>
      <w:r>
        <w:rPr>
          <w:rFonts w:hint="eastAsia" w:ascii="宋体" w:hAnsi="宋体" w:cs="Times New Roman"/>
          <w:sz w:val="28"/>
          <w:szCs w:val="28"/>
          <w:highlight w:val="none"/>
        </w:rPr>
        <w:t>政府及相关部门的</w:t>
      </w:r>
      <w:r>
        <w:rPr>
          <w:rFonts w:ascii="宋体" w:hAnsi="宋体" w:cs="Times New Roman"/>
          <w:sz w:val="28"/>
          <w:szCs w:val="28"/>
          <w:highlight w:val="none"/>
        </w:rPr>
        <w:t>转移指令、发现险情征兆或险情不能准确研判或遇重大险情或突发情况等，按照“先转移后报告、边转移边报告”原则，立即组织撤离</w:t>
      </w:r>
      <w:r>
        <w:rPr>
          <w:rFonts w:hint="eastAsia" w:ascii="宋体" w:hAnsi="宋体" w:cs="Times New Roman"/>
          <w:sz w:val="28"/>
          <w:szCs w:val="28"/>
          <w:highlight w:val="none"/>
        </w:rPr>
        <w:t>并告知甲方</w:t>
      </w:r>
      <w:r>
        <w:rPr>
          <w:rFonts w:ascii="宋体" w:hAnsi="宋体" w:cs="Times New Roman"/>
          <w:sz w:val="28"/>
          <w:szCs w:val="28"/>
          <w:highlight w:val="none"/>
        </w:rPr>
        <w:t>。</w:t>
      </w:r>
    </w:p>
    <w:p w14:paraId="35EE36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11.3.2</w:t>
      </w:r>
      <w:r>
        <w:rPr>
          <w:rFonts w:ascii="宋体" w:hAnsi="宋体" w:cs="Times New Roman"/>
          <w:sz w:val="28"/>
          <w:szCs w:val="28"/>
          <w:highlight w:val="none"/>
        </w:rPr>
        <w:t>三个避让，三个紧急撤离原则</w:t>
      </w:r>
    </w:p>
    <w:p w14:paraId="4B6CB08A">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乙方</w:t>
      </w:r>
      <w:r>
        <w:rPr>
          <w:rFonts w:ascii="宋体" w:hAnsi="宋体" w:cs="Times New Roman"/>
          <w:sz w:val="28"/>
          <w:szCs w:val="28"/>
          <w:highlight w:val="none"/>
        </w:rPr>
        <w:t>对洪涝、滑坡、泥石流、地震等自然灾害，要建立预警预防机制，要坚决落实“三个避让”（主动避让、提前避让、预防避让）和“三个紧急撤离”（危险隐患点强降雨时紧急撤离、隐患点发生异常险情时紧急撤离、对隐患点险情不能正确研判时紧急撤离）；对</w:t>
      </w:r>
      <w:r>
        <w:rPr>
          <w:rFonts w:hint="eastAsia" w:ascii="宋体" w:hAnsi="宋体" w:cs="Times New Roman"/>
          <w:sz w:val="28"/>
          <w:szCs w:val="28"/>
          <w:highlight w:val="none"/>
        </w:rPr>
        <w:t>作业</w:t>
      </w:r>
      <w:r>
        <w:rPr>
          <w:rFonts w:ascii="宋体" w:hAnsi="宋体" w:cs="Times New Roman"/>
          <w:sz w:val="28"/>
          <w:szCs w:val="28"/>
          <w:highlight w:val="none"/>
        </w:rPr>
        <w:t>现场高风险的部位、环节进行重点监控。</w:t>
      </w:r>
    </w:p>
    <w:p w14:paraId="48C0CD09">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11.3.3</w:t>
      </w:r>
      <w:r>
        <w:rPr>
          <w:rFonts w:ascii="宋体" w:hAnsi="宋体" w:cs="Times New Roman"/>
          <w:sz w:val="28"/>
          <w:szCs w:val="28"/>
          <w:highlight w:val="none"/>
        </w:rPr>
        <w:t>汛期安全防范七条刚性措施</w:t>
      </w:r>
    </w:p>
    <w:p w14:paraId="5B651732">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甲乙双方应做到：</w:t>
      </w:r>
      <w:r>
        <w:rPr>
          <w:rFonts w:ascii="宋体" w:hAnsi="宋体" w:cs="Times New Roman"/>
          <w:sz w:val="28"/>
          <w:szCs w:val="28"/>
          <w:highlight w:val="none"/>
        </w:rPr>
        <w:t>坚决坚持党的领导</w:t>
      </w:r>
      <w:r>
        <w:rPr>
          <w:rFonts w:hint="eastAsia" w:ascii="宋体" w:hAnsi="宋体" w:cs="Times New Roman"/>
          <w:sz w:val="28"/>
          <w:szCs w:val="28"/>
          <w:highlight w:val="none"/>
        </w:rPr>
        <w:t>；</w:t>
      </w:r>
      <w:r>
        <w:rPr>
          <w:rFonts w:ascii="宋体" w:hAnsi="宋体" w:cs="Times New Roman"/>
          <w:sz w:val="28"/>
          <w:szCs w:val="28"/>
          <w:highlight w:val="none"/>
        </w:rPr>
        <w:t>坚决整改风险隐患</w:t>
      </w:r>
      <w:r>
        <w:rPr>
          <w:rFonts w:hint="eastAsia" w:ascii="宋体" w:hAnsi="宋体" w:cs="Times New Roman"/>
          <w:sz w:val="28"/>
          <w:szCs w:val="28"/>
          <w:highlight w:val="none"/>
        </w:rPr>
        <w:t>；</w:t>
      </w:r>
      <w:r>
        <w:rPr>
          <w:rFonts w:ascii="宋体" w:hAnsi="宋体" w:cs="Times New Roman"/>
          <w:sz w:val="28"/>
          <w:szCs w:val="28"/>
          <w:highlight w:val="none"/>
        </w:rPr>
        <w:t>坚决做到信息快报</w:t>
      </w:r>
      <w:r>
        <w:rPr>
          <w:rFonts w:hint="eastAsia" w:ascii="宋体" w:hAnsi="宋体" w:cs="Times New Roman"/>
          <w:sz w:val="28"/>
          <w:szCs w:val="28"/>
          <w:highlight w:val="none"/>
        </w:rPr>
        <w:t>；</w:t>
      </w:r>
      <w:r>
        <w:rPr>
          <w:rFonts w:ascii="宋体" w:hAnsi="宋体" w:cs="Times New Roman"/>
          <w:sz w:val="28"/>
          <w:szCs w:val="28"/>
          <w:highlight w:val="none"/>
        </w:rPr>
        <w:t>坚决压实各方责任</w:t>
      </w:r>
      <w:r>
        <w:rPr>
          <w:rFonts w:hint="eastAsia" w:ascii="宋体" w:hAnsi="宋体" w:cs="Times New Roman"/>
          <w:sz w:val="28"/>
          <w:szCs w:val="28"/>
          <w:highlight w:val="none"/>
        </w:rPr>
        <w:t>；</w:t>
      </w:r>
      <w:r>
        <w:rPr>
          <w:rFonts w:ascii="宋体" w:hAnsi="宋体" w:cs="Times New Roman"/>
          <w:sz w:val="28"/>
          <w:szCs w:val="28"/>
          <w:highlight w:val="none"/>
        </w:rPr>
        <w:t>坚决做到避险快撤</w:t>
      </w:r>
      <w:r>
        <w:rPr>
          <w:rFonts w:hint="eastAsia" w:ascii="宋体" w:hAnsi="宋体" w:cs="Times New Roman"/>
          <w:sz w:val="28"/>
          <w:szCs w:val="28"/>
          <w:highlight w:val="none"/>
        </w:rPr>
        <w:t>；</w:t>
      </w:r>
      <w:r>
        <w:rPr>
          <w:rFonts w:ascii="宋体" w:hAnsi="宋体" w:cs="Times New Roman"/>
          <w:sz w:val="28"/>
          <w:szCs w:val="28"/>
          <w:highlight w:val="none"/>
        </w:rPr>
        <w:t>坚决落实安全评估</w:t>
      </w:r>
      <w:r>
        <w:rPr>
          <w:rFonts w:hint="eastAsia" w:ascii="宋体" w:hAnsi="宋体" w:cs="Times New Roman"/>
          <w:sz w:val="28"/>
          <w:szCs w:val="28"/>
          <w:highlight w:val="none"/>
        </w:rPr>
        <w:t>；</w:t>
      </w:r>
      <w:r>
        <w:rPr>
          <w:rFonts w:ascii="宋体" w:hAnsi="宋体" w:cs="Times New Roman"/>
          <w:sz w:val="28"/>
          <w:szCs w:val="28"/>
          <w:highlight w:val="none"/>
        </w:rPr>
        <w:t>坚决严肃追责问责</w:t>
      </w:r>
      <w:r>
        <w:rPr>
          <w:rFonts w:hint="eastAsia" w:ascii="宋体" w:hAnsi="宋体" w:cs="Times New Roman"/>
          <w:sz w:val="28"/>
          <w:szCs w:val="28"/>
          <w:highlight w:val="none"/>
        </w:rPr>
        <w:t>。</w:t>
      </w:r>
      <w:r>
        <w:rPr>
          <w:rFonts w:ascii="宋体" w:hAnsi="宋体" w:cs="Times New Roman"/>
          <w:sz w:val="28"/>
          <w:szCs w:val="28"/>
          <w:highlight w:val="none"/>
        </w:rPr>
        <w:t xml:space="preserve"> </w:t>
      </w:r>
    </w:p>
    <w:p w14:paraId="01176C75">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11.3.4</w:t>
      </w:r>
      <w:r>
        <w:rPr>
          <w:rFonts w:ascii="宋体" w:hAnsi="宋体" w:cs="Times New Roman"/>
          <w:sz w:val="28"/>
          <w:szCs w:val="28"/>
          <w:highlight w:val="none"/>
        </w:rPr>
        <w:t>施工驻地</w:t>
      </w:r>
    </w:p>
    <w:p w14:paraId="36DA0A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第一条 </w:t>
      </w:r>
      <w:r>
        <w:rPr>
          <w:rFonts w:hint="eastAsia" w:ascii="宋体" w:hAnsi="宋体" w:cs="Times New Roman"/>
          <w:sz w:val="28"/>
          <w:szCs w:val="28"/>
          <w:highlight w:val="none"/>
        </w:rPr>
        <w:t>乙方</w:t>
      </w:r>
      <w:r>
        <w:rPr>
          <w:rFonts w:ascii="宋体" w:hAnsi="宋体" w:cs="Times New Roman"/>
          <w:sz w:val="28"/>
          <w:szCs w:val="28"/>
          <w:highlight w:val="none"/>
        </w:rPr>
        <w:t>施工驻地</w:t>
      </w:r>
      <w:r>
        <w:rPr>
          <w:rFonts w:hint="eastAsia" w:ascii="宋体" w:hAnsi="宋体" w:cs="Times New Roman"/>
          <w:sz w:val="28"/>
          <w:szCs w:val="28"/>
          <w:highlight w:val="none"/>
          <w:lang w:val="en-US" w:eastAsia="zh-CN"/>
        </w:rPr>
        <w:t>新建</w:t>
      </w:r>
      <w:r>
        <w:rPr>
          <w:rFonts w:ascii="宋体" w:hAnsi="宋体" w:cs="Times New Roman"/>
          <w:sz w:val="28"/>
          <w:szCs w:val="28"/>
          <w:highlight w:val="none"/>
        </w:rPr>
        <w:t>选址</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应由乙方设计，在建设前期</w:t>
      </w:r>
      <w:r>
        <w:rPr>
          <w:rFonts w:ascii="宋体" w:hAnsi="宋体" w:cs="Times New Roman"/>
          <w:sz w:val="28"/>
          <w:szCs w:val="28"/>
          <w:highlight w:val="none"/>
        </w:rPr>
        <w:t>编制专项方案，确保满足消防及防洪、防泥石流、防滑坡、防坍塌、防风、防雷电、防中毒、防雪灾等防灾安全要求，经洪涝、地质灾害危险性评估，并由</w:t>
      </w:r>
      <w:r>
        <w:rPr>
          <w:rFonts w:hint="eastAsia" w:ascii="宋体" w:hAnsi="宋体" w:cs="Times New Roman"/>
          <w:sz w:val="28"/>
          <w:szCs w:val="28"/>
          <w:highlight w:val="none"/>
        </w:rPr>
        <w:t>乙方单位</w:t>
      </w:r>
      <w:r>
        <w:rPr>
          <w:rFonts w:ascii="宋体" w:hAnsi="宋体" w:cs="Times New Roman"/>
          <w:sz w:val="28"/>
          <w:szCs w:val="28"/>
          <w:highlight w:val="none"/>
        </w:rPr>
        <w:t>组织，</w:t>
      </w:r>
      <w:r>
        <w:rPr>
          <w:rFonts w:hint="eastAsia" w:ascii="宋体" w:hAnsi="宋体" w:cs="Times New Roman"/>
          <w:sz w:val="28"/>
          <w:szCs w:val="28"/>
          <w:highlight w:val="none"/>
        </w:rPr>
        <w:t>甲方单位</w:t>
      </w:r>
      <w:r>
        <w:rPr>
          <w:rFonts w:ascii="宋体" w:hAnsi="宋体" w:cs="Times New Roman"/>
          <w:sz w:val="28"/>
          <w:szCs w:val="28"/>
          <w:highlight w:val="none"/>
        </w:rPr>
        <w:t>、设计单位、监理单位参加，对专项方案进行评审通过后，严格按方案组织实施，验收合格投入使用。</w:t>
      </w:r>
    </w:p>
    <w:p w14:paraId="33BC7D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第二条 </w:t>
      </w:r>
      <w:r>
        <w:rPr>
          <w:rFonts w:hint="eastAsia" w:ascii="宋体" w:hAnsi="宋体" w:cs="Times New Roman"/>
          <w:sz w:val="28"/>
          <w:szCs w:val="28"/>
          <w:highlight w:val="none"/>
        </w:rPr>
        <w:t>乙方</w:t>
      </w:r>
      <w:r>
        <w:rPr>
          <w:rFonts w:ascii="宋体" w:hAnsi="宋体" w:cs="Times New Roman"/>
          <w:sz w:val="28"/>
          <w:szCs w:val="28"/>
          <w:highlight w:val="none"/>
        </w:rPr>
        <w:t>施工驻地(含租用)必须建立和完善安全风险管控制度，至少每</w:t>
      </w:r>
      <w:r>
        <w:rPr>
          <w:rFonts w:hint="eastAsia" w:ascii="宋体" w:hAnsi="宋体" w:cs="Times New Roman"/>
          <w:sz w:val="28"/>
          <w:szCs w:val="28"/>
          <w:highlight w:val="none"/>
        </w:rPr>
        <w:t>月</w:t>
      </w:r>
      <w:r>
        <w:rPr>
          <w:rFonts w:ascii="宋体" w:hAnsi="宋体" w:cs="Times New Roman"/>
          <w:sz w:val="28"/>
          <w:szCs w:val="28"/>
          <w:highlight w:val="none"/>
        </w:rPr>
        <w:t>开展一次风险自评价，建立风险台账，定期开展安全检查，并开展驻地周边延伸排查。驻地周边</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约定范围</w:t>
      </w:r>
      <w:r>
        <w:rPr>
          <w:rFonts w:hint="eastAsia" w:ascii="宋体" w:hAnsi="宋体" w:cs="Times New Roman"/>
          <w:sz w:val="28"/>
          <w:szCs w:val="28"/>
          <w:highlight w:val="none"/>
          <w:lang w:eastAsia="zh-CN"/>
        </w:rPr>
        <w:t>）</w:t>
      </w:r>
      <w:r>
        <w:rPr>
          <w:rFonts w:ascii="宋体" w:hAnsi="宋体" w:cs="Times New Roman"/>
          <w:sz w:val="28"/>
          <w:szCs w:val="28"/>
          <w:highlight w:val="none"/>
        </w:rPr>
        <w:t>环境条件发生变化，应立即开展风险评估，并落实安全防范措施。</w:t>
      </w:r>
    </w:p>
    <w:p w14:paraId="0FFA28D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第三条 </w:t>
      </w:r>
      <w:r>
        <w:rPr>
          <w:rFonts w:hint="eastAsia" w:ascii="宋体" w:hAnsi="宋体" w:cs="Times New Roman"/>
          <w:sz w:val="28"/>
          <w:szCs w:val="28"/>
          <w:highlight w:val="none"/>
        </w:rPr>
        <w:t>乙方</w:t>
      </w:r>
      <w:r>
        <w:rPr>
          <w:rFonts w:ascii="宋体" w:hAnsi="宋体" w:cs="Times New Roman"/>
          <w:sz w:val="28"/>
          <w:szCs w:val="28"/>
          <w:highlight w:val="none"/>
        </w:rPr>
        <w:t>施工驻地必须制定应急预案，落实应急通讯设备、应急照明、高频喇叭、生活必需品等应急物资；至少组织一次“断路、断电、断通讯”条件下的实战化演练，确保驻地人员熟知避险转移条件、信号、线路、避险点；</w:t>
      </w:r>
      <w:r>
        <w:rPr>
          <w:rFonts w:hint="eastAsia" w:ascii="宋体" w:hAnsi="宋体" w:cs="Times New Roman"/>
          <w:sz w:val="28"/>
          <w:szCs w:val="28"/>
          <w:highlight w:val="none"/>
        </w:rPr>
        <w:t>乙方应</w:t>
      </w:r>
      <w:r>
        <w:rPr>
          <w:rFonts w:ascii="宋体" w:hAnsi="宋体" w:cs="Times New Roman"/>
          <w:sz w:val="28"/>
          <w:szCs w:val="28"/>
          <w:highlight w:val="none"/>
        </w:rPr>
        <w:t>加强</w:t>
      </w:r>
      <w:r>
        <w:rPr>
          <w:rFonts w:hint="eastAsia" w:ascii="宋体" w:hAnsi="宋体" w:cs="Times New Roman"/>
          <w:sz w:val="28"/>
          <w:szCs w:val="28"/>
          <w:highlight w:val="none"/>
        </w:rPr>
        <w:t>对驻地作业人员</w:t>
      </w:r>
      <w:r>
        <w:rPr>
          <w:rFonts w:ascii="宋体" w:hAnsi="宋体" w:cs="Times New Roman"/>
          <w:sz w:val="28"/>
          <w:szCs w:val="28"/>
          <w:highlight w:val="none"/>
        </w:rPr>
        <w:t>防灾、减灾、救灾应急知识的教育培训。</w:t>
      </w:r>
    </w:p>
    <w:p w14:paraId="157F1E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第四条 </w:t>
      </w:r>
      <w:r>
        <w:rPr>
          <w:rFonts w:hint="eastAsia" w:ascii="宋体" w:hAnsi="宋体" w:cs="Times New Roman"/>
          <w:sz w:val="28"/>
          <w:szCs w:val="28"/>
          <w:highlight w:val="none"/>
        </w:rPr>
        <w:t>乙方</w:t>
      </w:r>
      <w:r>
        <w:rPr>
          <w:rFonts w:ascii="宋体" w:hAnsi="宋体" w:cs="Times New Roman"/>
          <w:sz w:val="28"/>
          <w:szCs w:val="28"/>
          <w:highlight w:val="none"/>
        </w:rPr>
        <w:t>施工驻地必须执行值班值守和巡逻制度，与所在地气象、水利、自然资源、应急管理等政府部门建立联系机制；多渠道及时获取预警预报信息和传递信息，建立专人靶向接收、传递、响应、反馈机制。</w:t>
      </w:r>
    </w:p>
    <w:p w14:paraId="7B85F6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第五条 </w:t>
      </w:r>
      <w:r>
        <w:rPr>
          <w:rFonts w:hint="eastAsia" w:ascii="宋体" w:hAnsi="宋体" w:cs="Times New Roman"/>
          <w:sz w:val="28"/>
          <w:szCs w:val="28"/>
          <w:highlight w:val="none"/>
        </w:rPr>
        <w:t>乙方</w:t>
      </w:r>
      <w:r>
        <w:rPr>
          <w:rFonts w:ascii="宋体" w:hAnsi="宋体" w:cs="Times New Roman"/>
          <w:sz w:val="28"/>
          <w:szCs w:val="28"/>
          <w:highlight w:val="none"/>
        </w:rPr>
        <w:t>施工驻地必须坚持汛期“三查”，严格落实“三个避让”“三个紧急撤离”刚性规定，建立满足企地联动响应的“红橙黄蓝”预警信息处置方案，接到预警信息</w:t>
      </w:r>
      <w:r>
        <w:rPr>
          <w:rFonts w:hint="eastAsia" w:ascii="宋体" w:hAnsi="宋体" w:cs="Times New Roman"/>
          <w:sz w:val="28"/>
          <w:szCs w:val="28"/>
          <w:highlight w:val="none"/>
        </w:rPr>
        <w:t>或甲方通知时</w:t>
      </w:r>
      <w:r>
        <w:rPr>
          <w:rFonts w:ascii="宋体" w:hAnsi="宋体" w:cs="Times New Roman"/>
          <w:sz w:val="28"/>
          <w:szCs w:val="28"/>
          <w:highlight w:val="none"/>
        </w:rPr>
        <w:t>，对应处置方案，坚决执行人员避险转移；特别是处于地质灾害易发区、受山洪灾害威胁或地质灾害危险性评估为中等风险的驻地，接到蓝色及以上预警信息时，必须避险撤离，严禁犹豫不决、拖延转移。</w:t>
      </w:r>
    </w:p>
    <w:p w14:paraId="6E3B887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第六条 </w:t>
      </w:r>
      <w:r>
        <w:rPr>
          <w:rFonts w:hint="eastAsia" w:ascii="宋体" w:hAnsi="宋体" w:cs="Times New Roman"/>
          <w:sz w:val="28"/>
          <w:szCs w:val="28"/>
          <w:highlight w:val="none"/>
        </w:rPr>
        <w:t>乙方</w:t>
      </w:r>
      <w:r>
        <w:rPr>
          <w:rFonts w:ascii="宋体" w:hAnsi="宋体" w:cs="Times New Roman"/>
          <w:sz w:val="28"/>
          <w:szCs w:val="28"/>
          <w:highlight w:val="none"/>
        </w:rPr>
        <w:t>施工驻地发生地灾或出现地灾险情时，必须按规定</w:t>
      </w:r>
      <w:r>
        <w:rPr>
          <w:rFonts w:hint="eastAsia" w:ascii="宋体" w:hAnsi="宋体" w:cs="Times New Roman"/>
          <w:sz w:val="28"/>
          <w:szCs w:val="28"/>
          <w:highlight w:val="none"/>
        </w:rPr>
        <w:t>立即报告本单位负责人并向甲方报告现场情况</w:t>
      </w:r>
      <w:r>
        <w:rPr>
          <w:rFonts w:ascii="宋体" w:hAnsi="宋体" w:cs="Times New Roman"/>
          <w:sz w:val="28"/>
          <w:szCs w:val="28"/>
          <w:highlight w:val="none"/>
        </w:rPr>
        <w:t>，不得迟报、漏报、谎报、瞒报。</w:t>
      </w:r>
    </w:p>
    <w:p w14:paraId="63FC037E">
      <w:pPr>
        <w:widowControl/>
        <w:spacing w:line="600" w:lineRule="exact"/>
        <w:ind w:firstLine="560" w:firstLineChars="200"/>
        <w:jc w:val="left"/>
        <w:rPr>
          <w:rFonts w:ascii="宋体" w:hAnsi="宋体" w:cs="Times New Roman"/>
          <w:sz w:val="28"/>
          <w:szCs w:val="28"/>
          <w:highlight w:val="none"/>
        </w:rPr>
      </w:pPr>
      <w:r>
        <w:rPr>
          <w:rFonts w:ascii="宋体" w:hAnsi="宋体" w:cs="Times New Roman"/>
          <w:sz w:val="28"/>
          <w:szCs w:val="28"/>
          <w:highlight w:val="none"/>
        </w:rPr>
        <w:t xml:space="preserve">第七条 </w:t>
      </w:r>
      <w:r>
        <w:rPr>
          <w:rFonts w:hint="eastAsia" w:ascii="宋体" w:hAnsi="宋体" w:cs="Times New Roman"/>
          <w:sz w:val="28"/>
          <w:szCs w:val="28"/>
          <w:highlight w:val="none"/>
        </w:rPr>
        <w:t>乙方</w:t>
      </w:r>
      <w:r>
        <w:rPr>
          <w:rFonts w:ascii="宋体" w:hAnsi="宋体" w:cs="Times New Roman"/>
          <w:sz w:val="28"/>
          <w:szCs w:val="28"/>
          <w:highlight w:val="none"/>
        </w:rPr>
        <w:t>施工驻地发生灾害性事故（件），经</w:t>
      </w:r>
      <w:r>
        <w:rPr>
          <w:rFonts w:hint="eastAsia" w:ascii="宋体" w:hAnsi="宋体" w:cs="Times New Roman"/>
          <w:sz w:val="28"/>
          <w:szCs w:val="28"/>
          <w:highlight w:val="none"/>
        </w:rPr>
        <w:t>甲方</w:t>
      </w:r>
      <w:r>
        <w:rPr>
          <w:rFonts w:ascii="宋体" w:hAnsi="宋体" w:cs="Times New Roman"/>
          <w:sz w:val="28"/>
          <w:szCs w:val="28"/>
          <w:highlight w:val="none"/>
        </w:rPr>
        <w:t>调查认定有违反上述规定情形的，参照《蜀道集团安全生产责任追究办法》，对相关单位及责任人作出严肃处理。</w:t>
      </w:r>
    </w:p>
    <w:p w14:paraId="46E1DBE3">
      <w:pPr>
        <w:widowControl/>
        <w:spacing w:line="600" w:lineRule="exact"/>
        <w:ind w:firstLine="560" w:firstLineChars="200"/>
        <w:jc w:val="left"/>
        <w:rPr>
          <w:rFonts w:ascii="宋体" w:hAnsi="宋体" w:cs="Times New Roman"/>
          <w:sz w:val="28"/>
          <w:szCs w:val="28"/>
          <w:highlight w:val="none"/>
        </w:rPr>
      </w:pPr>
      <w:r>
        <w:rPr>
          <w:rFonts w:hint="eastAsia" w:ascii="宋体" w:hAnsi="宋体" w:cs="Times New Roman"/>
          <w:sz w:val="28"/>
          <w:szCs w:val="28"/>
          <w:highlight w:val="none"/>
        </w:rPr>
        <w:t>11.3.5</w:t>
      </w:r>
      <w:r>
        <w:rPr>
          <w:rFonts w:ascii="宋体" w:hAnsi="宋体" w:cs="Times New Roman"/>
          <w:sz w:val="28"/>
          <w:szCs w:val="28"/>
          <w:highlight w:val="none"/>
        </w:rPr>
        <w:t>汛期“三查”工作措施</w:t>
      </w:r>
    </w:p>
    <w:p w14:paraId="29581716">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雨前排查</w:t>
      </w:r>
      <w:r>
        <w:rPr>
          <w:rFonts w:hint="eastAsia" w:ascii="宋体" w:hAnsi="宋体" w:cs="Times New Roman"/>
          <w:sz w:val="28"/>
          <w:szCs w:val="28"/>
          <w:highlight w:val="none"/>
        </w:rPr>
        <w:t>在建项目的</w:t>
      </w:r>
      <w:r>
        <w:rPr>
          <w:rFonts w:ascii="宋体" w:hAnsi="宋体" w:cs="Times New Roman"/>
          <w:sz w:val="28"/>
          <w:szCs w:val="28"/>
          <w:highlight w:val="none"/>
        </w:rPr>
        <w:t>建筑物、设备设施、电气线路安全状况，</w:t>
      </w:r>
      <w:r>
        <w:rPr>
          <w:rFonts w:hint="eastAsia" w:ascii="宋体" w:hAnsi="宋体" w:cs="Times New Roman"/>
          <w:sz w:val="28"/>
          <w:szCs w:val="28"/>
          <w:highlight w:val="none"/>
        </w:rPr>
        <w:t>排</w:t>
      </w:r>
      <w:r>
        <w:rPr>
          <w:rFonts w:ascii="宋体" w:hAnsi="宋体" w:cs="Times New Roman"/>
          <w:sz w:val="28"/>
          <w:szCs w:val="28"/>
          <w:highlight w:val="none"/>
        </w:rPr>
        <w:t>查防、排水设施完好情况，</w:t>
      </w:r>
      <w:r>
        <w:rPr>
          <w:rFonts w:hint="eastAsia" w:ascii="宋体" w:hAnsi="宋体" w:cs="Times New Roman"/>
          <w:sz w:val="28"/>
          <w:szCs w:val="28"/>
          <w:highlight w:val="none"/>
        </w:rPr>
        <w:t>排</w:t>
      </w:r>
      <w:r>
        <w:rPr>
          <w:rFonts w:ascii="宋体" w:hAnsi="宋体" w:cs="Times New Roman"/>
          <w:sz w:val="28"/>
          <w:szCs w:val="28"/>
          <w:highlight w:val="none"/>
        </w:rPr>
        <w:t>查应急救援预案、物资装备准备情况等;</w:t>
      </w:r>
    </w:p>
    <w:p w14:paraId="4A813C5F">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雨中</w:t>
      </w:r>
      <w:r>
        <w:rPr>
          <w:rFonts w:hint="eastAsia" w:ascii="宋体" w:hAnsi="宋体" w:cs="Times New Roman"/>
          <w:sz w:val="28"/>
          <w:szCs w:val="28"/>
          <w:highlight w:val="none"/>
        </w:rPr>
        <w:t>安排专人</w:t>
      </w:r>
      <w:r>
        <w:rPr>
          <w:rFonts w:ascii="宋体" w:hAnsi="宋体" w:cs="Times New Roman"/>
          <w:sz w:val="28"/>
          <w:szCs w:val="28"/>
          <w:highlight w:val="none"/>
        </w:rPr>
        <w:t>巡查</w:t>
      </w:r>
      <w:r>
        <w:rPr>
          <w:rFonts w:hint="eastAsia" w:ascii="宋体" w:hAnsi="宋体" w:cs="Times New Roman"/>
          <w:sz w:val="28"/>
          <w:szCs w:val="28"/>
          <w:highlight w:val="none"/>
        </w:rPr>
        <w:t>在建项目</w:t>
      </w:r>
      <w:r>
        <w:rPr>
          <w:rFonts w:ascii="宋体" w:hAnsi="宋体" w:cs="Times New Roman"/>
          <w:sz w:val="28"/>
          <w:szCs w:val="28"/>
          <w:highlight w:val="none"/>
        </w:rPr>
        <w:t>低洼地带积水情况，</w:t>
      </w:r>
      <w:r>
        <w:rPr>
          <w:rFonts w:hint="eastAsia" w:ascii="宋体" w:hAnsi="宋体" w:cs="Times New Roman"/>
          <w:sz w:val="28"/>
          <w:szCs w:val="28"/>
          <w:highlight w:val="none"/>
        </w:rPr>
        <w:t>巡</w:t>
      </w:r>
      <w:r>
        <w:rPr>
          <w:rFonts w:ascii="宋体" w:hAnsi="宋体" w:cs="Times New Roman"/>
          <w:sz w:val="28"/>
          <w:szCs w:val="28"/>
          <w:highlight w:val="none"/>
        </w:rPr>
        <w:t>查防、排水设施运行情况，</w:t>
      </w:r>
      <w:r>
        <w:rPr>
          <w:rFonts w:hint="eastAsia" w:ascii="宋体" w:hAnsi="宋体" w:cs="Times New Roman"/>
          <w:sz w:val="28"/>
          <w:szCs w:val="28"/>
          <w:highlight w:val="none"/>
        </w:rPr>
        <w:t>巡</w:t>
      </w:r>
      <w:r>
        <w:rPr>
          <w:rFonts w:ascii="宋体" w:hAnsi="宋体" w:cs="Times New Roman"/>
          <w:sz w:val="28"/>
          <w:szCs w:val="28"/>
          <w:highlight w:val="none"/>
        </w:rPr>
        <w:t>查应急值班值守工作情况等;</w:t>
      </w:r>
    </w:p>
    <w:p w14:paraId="772463AA">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乙方应做到在</w:t>
      </w:r>
      <w:r>
        <w:rPr>
          <w:rFonts w:ascii="宋体" w:hAnsi="宋体" w:cs="Times New Roman"/>
          <w:sz w:val="28"/>
          <w:szCs w:val="28"/>
          <w:highlight w:val="none"/>
        </w:rPr>
        <w:t>雨后核查</w:t>
      </w:r>
      <w:r>
        <w:rPr>
          <w:rFonts w:hint="eastAsia" w:ascii="宋体" w:hAnsi="宋体" w:cs="Times New Roman"/>
          <w:sz w:val="28"/>
          <w:szCs w:val="28"/>
          <w:highlight w:val="none"/>
        </w:rPr>
        <w:t>在建项目基础设施、机电设备</w:t>
      </w:r>
      <w:r>
        <w:rPr>
          <w:rFonts w:ascii="宋体" w:hAnsi="宋体" w:cs="Times New Roman"/>
          <w:sz w:val="28"/>
          <w:szCs w:val="28"/>
          <w:highlight w:val="none"/>
        </w:rPr>
        <w:t>受损情况，</w:t>
      </w:r>
      <w:r>
        <w:rPr>
          <w:rFonts w:hint="eastAsia" w:ascii="宋体" w:hAnsi="宋体" w:cs="Times New Roman"/>
          <w:sz w:val="28"/>
          <w:szCs w:val="28"/>
          <w:highlight w:val="none"/>
        </w:rPr>
        <w:t>排</w:t>
      </w:r>
      <w:r>
        <w:rPr>
          <w:rFonts w:ascii="宋体" w:hAnsi="宋体" w:cs="Times New Roman"/>
          <w:sz w:val="28"/>
          <w:szCs w:val="28"/>
          <w:highlight w:val="none"/>
        </w:rPr>
        <w:t>查隐患问题，</w:t>
      </w:r>
      <w:r>
        <w:rPr>
          <w:rFonts w:hint="eastAsia" w:ascii="宋体" w:hAnsi="宋体" w:cs="Times New Roman"/>
          <w:sz w:val="28"/>
          <w:szCs w:val="28"/>
          <w:highlight w:val="none"/>
        </w:rPr>
        <w:t>核</w:t>
      </w:r>
      <w:r>
        <w:rPr>
          <w:rFonts w:ascii="宋体" w:hAnsi="宋体" w:cs="Times New Roman"/>
          <w:sz w:val="28"/>
          <w:szCs w:val="28"/>
          <w:highlight w:val="none"/>
        </w:rPr>
        <w:t>查应急处置情况等。</w:t>
      </w:r>
    </w:p>
    <w:p w14:paraId="385A94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11.4 事故上报</w:t>
      </w:r>
    </w:p>
    <w:p w14:paraId="33C98C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发生安全事故时，乙方事故现场</w:t>
      </w:r>
      <w:r>
        <w:rPr>
          <w:rFonts w:hint="eastAsia" w:ascii="宋体" w:hAnsi="宋体" w:cs="Times New Roman"/>
          <w:sz w:val="28"/>
          <w:szCs w:val="28"/>
          <w:highlight w:val="none"/>
        </w:rPr>
        <w:t>管理</w:t>
      </w:r>
      <w:r>
        <w:rPr>
          <w:rFonts w:ascii="宋体" w:hAnsi="宋体" w:cs="Times New Roman"/>
          <w:sz w:val="28"/>
          <w:szCs w:val="28"/>
          <w:highlight w:val="none"/>
        </w:rPr>
        <w:t>人员应</w:t>
      </w:r>
      <w:r>
        <w:rPr>
          <w:rFonts w:hint="eastAsia" w:ascii="宋体" w:hAnsi="宋体" w:cs="Times New Roman"/>
          <w:sz w:val="28"/>
          <w:szCs w:val="28"/>
          <w:highlight w:val="none"/>
        </w:rPr>
        <w:t>当</w:t>
      </w:r>
      <w:r>
        <w:rPr>
          <w:rFonts w:ascii="宋体" w:hAnsi="宋体" w:cs="Times New Roman"/>
          <w:sz w:val="28"/>
          <w:szCs w:val="28"/>
          <w:highlight w:val="none"/>
        </w:rPr>
        <w:t>立即</w:t>
      </w:r>
      <w:r>
        <w:rPr>
          <w:rFonts w:hint="eastAsia" w:ascii="宋体" w:hAnsi="宋体" w:cs="Times New Roman"/>
          <w:sz w:val="28"/>
          <w:szCs w:val="28"/>
          <w:highlight w:val="none"/>
        </w:rPr>
        <w:t>向本单位负责人报告</w:t>
      </w:r>
      <w:r>
        <w:rPr>
          <w:rFonts w:ascii="宋体" w:hAnsi="宋体" w:cs="Times New Roman"/>
          <w:sz w:val="28"/>
          <w:szCs w:val="28"/>
          <w:highlight w:val="none"/>
        </w:rPr>
        <w:t>并通知甲方</w:t>
      </w:r>
      <w:r>
        <w:rPr>
          <w:rFonts w:hint="eastAsia" w:ascii="宋体" w:hAnsi="宋体" w:cs="Times New Roman"/>
          <w:sz w:val="28"/>
          <w:szCs w:val="28"/>
          <w:highlight w:val="none"/>
        </w:rPr>
        <w:t>代表</w:t>
      </w:r>
      <w:r>
        <w:rPr>
          <w:rFonts w:ascii="宋体" w:hAnsi="宋体" w:cs="Times New Roman"/>
          <w:sz w:val="28"/>
          <w:szCs w:val="28"/>
          <w:highlight w:val="none"/>
        </w:rPr>
        <w:t>，</w:t>
      </w:r>
      <w:r>
        <w:rPr>
          <w:rFonts w:hint="eastAsia" w:ascii="宋体" w:hAnsi="宋体" w:cs="Times New Roman"/>
          <w:sz w:val="28"/>
          <w:szCs w:val="28"/>
          <w:highlight w:val="none"/>
        </w:rPr>
        <w:t>乙方单位负责人应当于一小时内向事故发生地县级以上人民政府安全生产监督管理部门和负有安全生产监督管理职责的有关部门报告</w:t>
      </w:r>
      <w:r>
        <w:rPr>
          <w:rFonts w:ascii="宋体" w:hAnsi="宋体" w:cs="Times New Roman"/>
          <w:sz w:val="28"/>
          <w:szCs w:val="28"/>
          <w:highlight w:val="none"/>
        </w:rPr>
        <w:t>，不得迟报、漏报、谎报、瞒报。</w:t>
      </w:r>
    </w:p>
    <w:p w14:paraId="1AE65F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11.5 森林防火</w:t>
      </w:r>
    </w:p>
    <w:p w14:paraId="30CB079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11.5.1</w:t>
      </w:r>
      <w:r>
        <w:rPr>
          <w:rFonts w:ascii="宋体" w:hAnsi="宋体" w:cs="Times New Roman"/>
          <w:sz w:val="28"/>
          <w:szCs w:val="28"/>
          <w:highlight w:val="none"/>
        </w:rPr>
        <w:t>项目所在地涉及森林草原的，乙方要严格执行野外动火、焊接切割作业审批制度，办理动火安全作业许可票证</w:t>
      </w:r>
      <w:r>
        <w:rPr>
          <w:rFonts w:hint="eastAsia" w:ascii="宋体" w:hAnsi="宋体" w:cs="Times New Roman"/>
          <w:sz w:val="28"/>
          <w:szCs w:val="28"/>
          <w:highlight w:val="none"/>
        </w:rPr>
        <w:t>。乙方</w:t>
      </w:r>
      <w:r>
        <w:rPr>
          <w:rFonts w:ascii="宋体" w:hAnsi="宋体" w:cs="Times New Roman"/>
          <w:sz w:val="28"/>
          <w:szCs w:val="28"/>
          <w:highlight w:val="none"/>
        </w:rPr>
        <w:t>无动火安全作业许可票证</w:t>
      </w:r>
      <w:r>
        <w:rPr>
          <w:rFonts w:hint="eastAsia" w:ascii="宋体" w:hAnsi="宋体" w:cs="Times New Roman"/>
          <w:sz w:val="28"/>
          <w:szCs w:val="28"/>
          <w:highlight w:val="none"/>
        </w:rPr>
        <w:t>擅自动火作业</w:t>
      </w:r>
      <w:r>
        <w:rPr>
          <w:rFonts w:ascii="宋体" w:hAnsi="宋体" w:cs="Times New Roman"/>
          <w:sz w:val="28"/>
          <w:szCs w:val="28"/>
          <w:highlight w:val="none"/>
        </w:rPr>
        <w:t>，甲方有权要求乙方暂停施工</w:t>
      </w:r>
      <w:r>
        <w:rPr>
          <w:rFonts w:hint="eastAsia" w:ascii="宋体" w:hAnsi="宋体" w:cs="Times New Roman"/>
          <w:sz w:val="28"/>
          <w:szCs w:val="28"/>
          <w:highlight w:val="none"/>
        </w:rPr>
        <w:t>并及时整改，因停工整改造成的经济损失由乙方承担，乙方拒不整改的，甲方有权根据违规行为的严重程度向乙方扣减</w:t>
      </w:r>
      <w:r>
        <w:rPr>
          <w:rFonts w:ascii="宋体" w:hAnsi="宋体" w:cs="Times New Roman"/>
          <w:sz w:val="28"/>
          <w:szCs w:val="28"/>
          <w:highlight w:val="none"/>
        </w:rPr>
        <w:t>违约金500</w:t>
      </w:r>
      <w:r>
        <w:rPr>
          <w:rFonts w:hint="eastAsia" w:ascii="宋体" w:hAnsi="宋体" w:cs="Times New Roman"/>
          <w:sz w:val="28"/>
          <w:szCs w:val="28"/>
          <w:highlight w:val="none"/>
        </w:rPr>
        <w:t>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w:t>
      </w:r>
      <w:r>
        <w:rPr>
          <w:rFonts w:hint="eastAsia" w:ascii="宋体" w:hAnsi="宋体" w:cs="Times New Roman"/>
          <w:sz w:val="28"/>
          <w:szCs w:val="28"/>
          <w:highlight w:val="none"/>
        </w:rPr>
        <w:t>0</w:t>
      </w:r>
      <w:r>
        <w:rPr>
          <w:rFonts w:ascii="宋体" w:hAnsi="宋体" w:cs="Times New Roman"/>
          <w:sz w:val="28"/>
          <w:szCs w:val="28"/>
          <w:highlight w:val="none"/>
        </w:rPr>
        <w:t>元</w:t>
      </w:r>
      <w:r>
        <w:rPr>
          <w:rFonts w:hint="eastAsia" w:ascii="宋体" w:hAnsi="宋体" w:cs="Times New Roman"/>
          <w:sz w:val="28"/>
          <w:szCs w:val="28"/>
          <w:highlight w:val="none"/>
        </w:rPr>
        <w:t>/次</w:t>
      </w:r>
      <w:r>
        <w:rPr>
          <w:rFonts w:ascii="宋体" w:hAnsi="宋体" w:cs="Times New Roman"/>
          <w:sz w:val="28"/>
          <w:szCs w:val="28"/>
          <w:highlight w:val="none"/>
        </w:rPr>
        <w:t>。</w:t>
      </w:r>
    </w:p>
    <w:p w14:paraId="728CB2B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11.5.2</w:t>
      </w:r>
      <w:r>
        <w:rPr>
          <w:rFonts w:ascii="宋体" w:hAnsi="宋体" w:cs="Times New Roman"/>
          <w:sz w:val="28"/>
          <w:szCs w:val="28"/>
          <w:highlight w:val="none"/>
        </w:rPr>
        <w:t>乙方应严格落实</w:t>
      </w:r>
      <w:r>
        <w:rPr>
          <w:rFonts w:hint="eastAsia" w:ascii="宋体" w:hAnsi="宋体" w:cs="Times New Roman"/>
          <w:sz w:val="28"/>
          <w:szCs w:val="28"/>
          <w:highlight w:val="none"/>
        </w:rPr>
        <w:t>在建项目</w:t>
      </w:r>
      <w:r>
        <w:rPr>
          <w:rFonts w:ascii="宋体" w:hAnsi="宋体" w:cs="Times New Roman"/>
          <w:sz w:val="28"/>
          <w:szCs w:val="28"/>
          <w:highlight w:val="none"/>
        </w:rPr>
        <w:t>动火作业点消防设施配备和现场监护，严禁携带火种进入</w:t>
      </w:r>
      <w:r>
        <w:rPr>
          <w:rFonts w:hint="eastAsia" w:ascii="宋体" w:hAnsi="宋体" w:cs="Times New Roman"/>
          <w:sz w:val="28"/>
          <w:szCs w:val="28"/>
          <w:highlight w:val="none"/>
        </w:rPr>
        <w:t>项目所在地附近</w:t>
      </w:r>
      <w:r>
        <w:rPr>
          <w:rFonts w:ascii="宋体" w:hAnsi="宋体" w:cs="Times New Roman"/>
          <w:sz w:val="28"/>
          <w:szCs w:val="28"/>
          <w:highlight w:val="none"/>
        </w:rPr>
        <w:t>林区，严禁在林区及周边吸烟、焚烧垃圾。如有发现，</w:t>
      </w:r>
      <w:r>
        <w:rPr>
          <w:rFonts w:hint="eastAsia" w:ascii="宋体" w:hAnsi="宋体" w:cs="Times New Roman"/>
          <w:sz w:val="28"/>
          <w:szCs w:val="28"/>
          <w:highlight w:val="none"/>
        </w:rPr>
        <w:t>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500</w:t>
      </w:r>
      <w:r>
        <w:rPr>
          <w:rFonts w:ascii="宋体" w:hAnsi="宋体" w:cs="Times New Roman"/>
          <w:sz w:val="28"/>
          <w:szCs w:val="28"/>
          <w:highlight w:val="none"/>
        </w:rPr>
        <w:t>-</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/次</w:t>
      </w:r>
      <w:r>
        <w:rPr>
          <w:rFonts w:ascii="宋体" w:hAnsi="宋体" w:cs="Times New Roman"/>
          <w:sz w:val="28"/>
          <w:szCs w:val="28"/>
          <w:highlight w:val="none"/>
        </w:rPr>
        <w:t>。</w:t>
      </w:r>
    </w:p>
    <w:p w14:paraId="2C5690B9">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11.5.3</w:t>
      </w:r>
      <w:r>
        <w:rPr>
          <w:rFonts w:ascii="宋体" w:hAnsi="宋体" w:cs="Times New Roman"/>
          <w:sz w:val="28"/>
          <w:szCs w:val="28"/>
          <w:highlight w:val="none"/>
        </w:rPr>
        <w:t>乙方在接到属地人民政府发布的禁火令后，要及时报告甲方并对照禁火时间、禁火区域和禁火措施，严禁一切野外用火。</w:t>
      </w:r>
      <w:r>
        <w:rPr>
          <w:rFonts w:hint="eastAsia" w:ascii="宋体" w:hAnsi="宋体" w:cs="Times New Roman"/>
          <w:sz w:val="28"/>
          <w:szCs w:val="28"/>
          <w:highlight w:val="none"/>
        </w:rPr>
        <w:t>乙方违规用火，甲方有权根据违规行为的严重程度向乙方扣减</w:t>
      </w:r>
      <w:r>
        <w:rPr>
          <w:rFonts w:ascii="宋体" w:hAnsi="宋体" w:cs="Times New Roman"/>
          <w:sz w:val="28"/>
          <w:szCs w:val="28"/>
          <w:highlight w:val="none"/>
        </w:rPr>
        <w:t>违约金</w:t>
      </w:r>
      <w:r>
        <w:rPr>
          <w:rFonts w:hint="eastAsia" w:ascii="宋体" w:hAnsi="宋体" w:cs="Times New Roman"/>
          <w:sz w:val="28"/>
          <w:szCs w:val="28"/>
          <w:highlight w:val="none"/>
        </w:rPr>
        <w:t>5</w:t>
      </w:r>
      <w:r>
        <w:rPr>
          <w:rFonts w:ascii="宋体" w:hAnsi="宋体" w:cs="Times New Roman"/>
          <w:sz w:val="28"/>
          <w:szCs w:val="28"/>
          <w:highlight w:val="none"/>
        </w:rPr>
        <w:t>000-20000元</w:t>
      </w:r>
      <w:r>
        <w:rPr>
          <w:rFonts w:hint="eastAsia" w:ascii="宋体" w:hAnsi="宋体" w:cs="Times New Roman"/>
          <w:sz w:val="28"/>
          <w:szCs w:val="28"/>
          <w:highlight w:val="none"/>
        </w:rPr>
        <w:t>/次。</w:t>
      </w:r>
    </w:p>
    <w:p w14:paraId="03945F17">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11.5.4施工场地位于森林草原区域的，</w:t>
      </w:r>
      <w:r>
        <w:rPr>
          <w:rFonts w:ascii="宋体" w:hAnsi="宋体" w:cs="Times New Roman"/>
          <w:sz w:val="28"/>
          <w:szCs w:val="28"/>
          <w:highlight w:val="none"/>
        </w:rPr>
        <w:t>乙方</w:t>
      </w:r>
      <w:r>
        <w:rPr>
          <w:rFonts w:hint="eastAsia" w:ascii="宋体" w:hAnsi="宋体" w:cs="Times New Roman"/>
          <w:sz w:val="28"/>
          <w:szCs w:val="28"/>
          <w:highlight w:val="none"/>
        </w:rPr>
        <w:t>须</w:t>
      </w:r>
      <w:r>
        <w:rPr>
          <w:rFonts w:ascii="宋体" w:hAnsi="宋体" w:cs="Times New Roman"/>
          <w:sz w:val="28"/>
          <w:szCs w:val="28"/>
          <w:highlight w:val="none"/>
        </w:rPr>
        <w:t>做到全覆盖、常态化组织开展森林</w:t>
      </w:r>
      <w:r>
        <w:rPr>
          <w:rFonts w:hint="eastAsia" w:ascii="宋体" w:hAnsi="宋体" w:cs="Times New Roman"/>
          <w:sz w:val="28"/>
          <w:szCs w:val="28"/>
          <w:highlight w:val="none"/>
        </w:rPr>
        <w:t>草原</w:t>
      </w:r>
      <w:r>
        <w:rPr>
          <w:rFonts w:ascii="宋体" w:hAnsi="宋体" w:cs="Times New Roman"/>
          <w:sz w:val="28"/>
          <w:szCs w:val="28"/>
          <w:highlight w:val="none"/>
        </w:rPr>
        <w:t>火灾隐患排查整治，并对发现的火灾隐患建立工作台账，实行清单管理，按照隐患整改“五落实”要求，确保隐患整改清零。</w:t>
      </w:r>
    </w:p>
    <w:p w14:paraId="41C68E43">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11.5.5</w:t>
      </w:r>
      <w:r>
        <w:rPr>
          <w:rFonts w:ascii="宋体" w:hAnsi="宋体" w:cs="Times New Roman"/>
          <w:sz w:val="28"/>
          <w:szCs w:val="28"/>
          <w:highlight w:val="none"/>
        </w:rPr>
        <w:t>乙方需加强现场作业人员安全教育培训和技术交底，相关资料需拍照或录像留存备查，增强森林草原防灭火风险防范意识。</w:t>
      </w:r>
      <w:r>
        <w:rPr>
          <w:rFonts w:hint="eastAsia" w:ascii="宋体" w:hAnsi="宋体" w:cs="Times New Roman"/>
          <w:sz w:val="28"/>
          <w:szCs w:val="28"/>
          <w:highlight w:val="none"/>
        </w:rPr>
        <w:t>如乙方</w:t>
      </w:r>
      <w:r>
        <w:rPr>
          <w:rFonts w:ascii="宋体" w:hAnsi="宋体" w:cs="Times New Roman"/>
          <w:sz w:val="28"/>
          <w:szCs w:val="28"/>
          <w:highlight w:val="none"/>
        </w:rPr>
        <w:t>未定期对人员安全教育或技术交底的，未落实相关规定，甲方有权</w:t>
      </w:r>
      <w:r>
        <w:rPr>
          <w:rFonts w:hint="eastAsia" w:ascii="宋体" w:hAnsi="宋体" w:cs="Times New Roman"/>
          <w:sz w:val="28"/>
          <w:szCs w:val="28"/>
          <w:highlight w:val="none"/>
        </w:rPr>
        <w:t>根据违规行为的严重程度</w:t>
      </w:r>
      <w:r>
        <w:rPr>
          <w:rFonts w:ascii="宋体" w:hAnsi="宋体" w:cs="Times New Roman"/>
          <w:sz w:val="28"/>
          <w:szCs w:val="28"/>
          <w:highlight w:val="none"/>
        </w:rPr>
        <w:t>向乙方</w:t>
      </w:r>
      <w:r>
        <w:rPr>
          <w:rFonts w:hint="eastAsia" w:ascii="宋体" w:hAnsi="宋体" w:cs="Times New Roman"/>
          <w:sz w:val="28"/>
          <w:szCs w:val="28"/>
          <w:highlight w:val="none"/>
        </w:rPr>
        <w:t>扣减</w:t>
      </w:r>
      <w:r>
        <w:rPr>
          <w:rFonts w:ascii="宋体" w:hAnsi="宋体" w:cs="Times New Roman"/>
          <w:sz w:val="28"/>
          <w:szCs w:val="28"/>
          <w:highlight w:val="none"/>
        </w:rPr>
        <w:t>违约金500-</w:t>
      </w:r>
      <w:r>
        <w:rPr>
          <w:rFonts w:hint="eastAsia" w:ascii="宋体" w:hAnsi="宋体" w:cs="Times New Roman"/>
          <w:sz w:val="28"/>
          <w:szCs w:val="28"/>
          <w:highlight w:val="none"/>
        </w:rPr>
        <w:t>2</w:t>
      </w:r>
      <w:r>
        <w:rPr>
          <w:rFonts w:ascii="宋体" w:hAnsi="宋体" w:cs="Times New Roman"/>
          <w:sz w:val="28"/>
          <w:szCs w:val="28"/>
          <w:highlight w:val="none"/>
        </w:rPr>
        <w:t>000元</w:t>
      </w:r>
      <w:r>
        <w:rPr>
          <w:rFonts w:hint="eastAsia" w:ascii="宋体" w:hAnsi="宋体" w:cs="Times New Roman"/>
          <w:sz w:val="28"/>
          <w:szCs w:val="28"/>
          <w:highlight w:val="none"/>
        </w:rPr>
        <w:t>。</w:t>
      </w:r>
    </w:p>
    <w:p w14:paraId="6C50739C">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11.5.6</w:t>
      </w:r>
      <w:r>
        <w:rPr>
          <w:rFonts w:ascii="宋体" w:hAnsi="宋体" w:cs="Times New Roman"/>
          <w:sz w:val="28"/>
          <w:szCs w:val="28"/>
          <w:highlight w:val="none"/>
        </w:rPr>
        <w:t>乙方需严格执行关键岗位24小时值班制度，制定森林草原防灭火专项应急预案，完善应急物资准备，落实应急演练，在火情发生时，严格执行“三先四不打”要求。</w:t>
      </w:r>
    </w:p>
    <w:p w14:paraId="56F3505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 xml:space="preserve"> 事故处理</w:t>
      </w:r>
    </w:p>
    <w:p w14:paraId="1E3B0A3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  人员的工伤事故</w:t>
      </w:r>
    </w:p>
    <w:p w14:paraId="3E1EEBB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.1.1  人员工伤事故的责任</w:t>
      </w:r>
    </w:p>
    <w:p w14:paraId="305B7B4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乙方应为其执行本合同的全部人员承担工伤事故责任。乙方可要求其分包人自行承担自己雇用人员的工伤事故责任。</w:t>
      </w:r>
    </w:p>
    <w:p w14:paraId="1B276E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由于乙方过失造成在乙方责任区内工作的甲方的人员伤亡，则应由乙方承担其事故责任。</w:t>
      </w:r>
    </w:p>
    <w:p w14:paraId="3DBE10C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6</w:t>
      </w:r>
      <w:r>
        <w:rPr>
          <w:rFonts w:ascii="宋体" w:hAnsi="宋体" w:cs="Times New Roman"/>
          <w:sz w:val="28"/>
          <w:szCs w:val="28"/>
          <w:highlight w:val="none"/>
        </w:rPr>
        <w:t>.1.2 人员工伤事故的赔偿</w:t>
      </w:r>
    </w:p>
    <w:p w14:paraId="27433AC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乙方对</w:t>
      </w:r>
      <w:r>
        <w:rPr>
          <w:rFonts w:ascii="宋体" w:hAnsi="宋体" w:cs="Times New Roman"/>
          <w:sz w:val="28"/>
          <w:szCs w:val="28"/>
          <w:highlight w:val="none"/>
        </w:rPr>
        <w:t>其执行本合同的</w:t>
      </w:r>
      <w:r>
        <w:rPr>
          <w:rFonts w:hint="eastAsia" w:ascii="宋体" w:hAnsi="宋体" w:cs="Times New Roman"/>
          <w:sz w:val="28"/>
          <w:szCs w:val="28"/>
          <w:highlight w:val="none"/>
        </w:rPr>
        <w:t>全部人员工伤事故承担赔偿责任</w:t>
      </w:r>
      <w:r>
        <w:rPr>
          <w:rFonts w:hint="eastAsia" w:ascii="宋体" w:hAnsi="宋体" w:cs="Times New Roman"/>
          <w:sz w:val="28"/>
          <w:szCs w:val="28"/>
          <w:highlight w:val="none"/>
          <w:lang w:eastAsia="zh-CN"/>
        </w:rPr>
        <w:t>，</w:t>
      </w:r>
      <w:r>
        <w:rPr>
          <w:rFonts w:ascii="宋体" w:hAnsi="宋体" w:cs="Times New Roman"/>
          <w:sz w:val="28"/>
          <w:szCs w:val="28"/>
          <w:highlight w:val="none"/>
        </w:rPr>
        <w:t>赔偿费用的范围应包括人员伤亡和财产损失的赔偿费、诉讼费和其它有关费用。</w:t>
      </w:r>
    </w:p>
    <w:p w14:paraId="6CF371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11.</w:t>
      </w:r>
      <w:r>
        <w:rPr>
          <w:rFonts w:hint="eastAsia" w:ascii="宋体" w:hAnsi="宋体" w:cs="Times New Roman"/>
          <w:sz w:val="28"/>
          <w:szCs w:val="28"/>
          <w:highlight w:val="none"/>
        </w:rPr>
        <w:t>7</w:t>
      </w:r>
      <w:r>
        <w:rPr>
          <w:rFonts w:ascii="宋体" w:hAnsi="宋体" w:cs="Times New Roman"/>
          <w:sz w:val="28"/>
          <w:szCs w:val="28"/>
          <w:highlight w:val="none"/>
        </w:rPr>
        <w:t>安全事故</w:t>
      </w:r>
    </w:p>
    <w:p w14:paraId="0CBB7190">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乙方管辖区内</w:t>
      </w:r>
      <w:r>
        <w:rPr>
          <w:rFonts w:ascii="宋体" w:hAnsi="宋体" w:cs="Times New Roman"/>
          <w:sz w:val="28"/>
          <w:szCs w:val="28"/>
          <w:highlight w:val="none"/>
        </w:rPr>
        <w:t>发生</w:t>
      </w:r>
      <w:r>
        <w:rPr>
          <w:rFonts w:hint="eastAsia" w:ascii="宋体" w:hAnsi="宋体" w:cs="Times New Roman"/>
          <w:sz w:val="28"/>
          <w:szCs w:val="28"/>
          <w:highlight w:val="none"/>
        </w:rPr>
        <w:t>安全</w:t>
      </w:r>
      <w:r>
        <w:rPr>
          <w:rFonts w:ascii="宋体" w:hAnsi="宋体" w:cs="Times New Roman"/>
          <w:sz w:val="28"/>
          <w:szCs w:val="28"/>
          <w:highlight w:val="none"/>
        </w:rPr>
        <w:t>事故后，乙方应按有关规定立即</w:t>
      </w:r>
      <w:r>
        <w:rPr>
          <w:rFonts w:hint="eastAsia" w:ascii="宋体" w:hAnsi="宋体" w:cs="Times New Roman"/>
          <w:sz w:val="28"/>
          <w:szCs w:val="28"/>
          <w:highlight w:val="none"/>
        </w:rPr>
        <w:t>报告本单位负责人</w:t>
      </w:r>
      <w:r>
        <w:rPr>
          <w:rFonts w:ascii="宋体" w:hAnsi="宋体" w:cs="Times New Roman"/>
          <w:sz w:val="28"/>
          <w:szCs w:val="28"/>
          <w:highlight w:val="none"/>
        </w:rPr>
        <w:t>并通知甲方</w:t>
      </w:r>
      <w:r>
        <w:rPr>
          <w:rFonts w:hint="eastAsia" w:ascii="宋体" w:hAnsi="宋体" w:cs="Times New Roman"/>
          <w:sz w:val="28"/>
          <w:szCs w:val="28"/>
          <w:highlight w:val="none"/>
        </w:rPr>
        <w:t>，并在确保安全的情况下立即组织疏散或营救危害区域的受害人员，迅速控制事态发展。</w:t>
      </w:r>
      <w:r>
        <w:rPr>
          <w:rFonts w:ascii="宋体" w:hAnsi="宋体" w:cs="Times New Roman"/>
          <w:sz w:val="28"/>
          <w:szCs w:val="28"/>
          <w:highlight w:val="none"/>
        </w:rPr>
        <w:t>乙方应当妥善保护事故现场以及相关证据，任何部门和个人不得破坏事故现场、毁灭相关证据。</w:t>
      </w:r>
      <w:r>
        <w:rPr>
          <w:rFonts w:hint="eastAsia" w:ascii="宋体" w:hAnsi="宋体" w:cs="Times New Roman"/>
          <w:sz w:val="28"/>
          <w:szCs w:val="28"/>
          <w:highlight w:val="none"/>
        </w:rPr>
        <w:t>因抢救人员、防止事故扩大以及疏通交通等原因，需要移动事故现场物件的，应当作出标志，绘制现场简图并作出书面记录，妥善保存现场重要痕迹、物证。</w:t>
      </w:r>
      <w:r>
        <w:rPr>
          <w:rFonts w:ascii="宋体" w:hAnsi="宋体" w:cs="Times New Roman"/>
          <w:sz w:val="28"/>
          <w:szCs w:val="28"/>
          <w:highlight w:val="none"/>
        </w:rPr>
        <w:t>同时应配合政府事故调查组开展事故调查，并根据情况对事故开展内部调查。</w:t>
      </w:r>
      <w:r>
        <w:rPr>
          <w:rFonts w:hint="eastAsia" w:ascii="宋体" w:hAnsi="宋体" w:cs="Times New Roman"/>
          <w:sz w:val="28"/>
          <w:szCs w:val="28"/>
          <w:highlight w:val="none"/>
          <w:lang w:val="en-US" w:eastAsia="zh-CN"/>
        </w:rPr>
        <w:t>因乙方原因造成的</w:t>
      </w:r>
      <w:r>
        <w:rPr>
          <w:rFonts w:hint="eastAsia" w:ascii="宋体" w:hAnsi="宋体" w:cs="Times New Roman"/>
          <w:sz w:val="28"/>
          <w:szCs w:val="28"/>
          <w:highlight w:val="none"/>
        </w:rPr>
        <w:t>事故所引起的经济损失费用由乙方承担，包括但不限于善后处理费用、财产损失、停产损失、诉讼费和其他有关费用</w:t>
      </w:r>
      <w:r>
        <w:rPr>
          <w:rFonts w:ascii="宋体" w:hAnsi="宋体" w:cs="Times New Roman"/>
          <w:sz w:val="28"/>
          <w:szCs w:val="28"/>
          <w:highlight w:val="none"/>
        </w:rPr>
        <w:t>。</w:t>
      </w:r>
      <w:r>
        <w:rPr>
          <w:rFonts w:hint="eastAsia" w:ascii="宋体" w:hAnsi="宋体" w:cs="Times New Roman"/>
          <w:sz w:val="28"/>
          <w:szCs w:val="28"/>
          <w:highlight w:val="none"/>
        </w:rPr>
        <w:t>事故责任方为乙方时，除了接受</w:t>
      </w:r>
      <w:r>
        <w:rPr>
          <w:rFonts w:ascii="宋体" w:hAnsi="宋体" w:cs="Times New Roman"/>
          <w:sz w:val="28"/>
          <w:szCs w:val="28"/>
          <w:highlight w:val="none"/>
        </w:rPr>
        <w:t>国家、地方有关安全</w:t>
      </w:r>
      <w:r>
        <w:rPr>
          <w:rFonts w:hint="eastAsia" w:ascii="宋体" w:hAnsi="宋体" w:cs="Times New Roman"/>
          <w:sz w:val="28"/>
          <w:szCs w:val="28"/>
          <w:highlight w:val="none"/>
        </w:rPr>
        <w:t>法律</w:t>
      </w:r>
      <w:r>
        <w:rPr>
          <w:rFonts w:ascii="宋体" w:hAnsi="宋体" w:cs="Times New Roman"/>
          <w:sz w:val="28"/>
          <w:szCs w:val="28"/>
          <w:highlight w:val="none"/>
        </w:rPr>
        <w:t>法规处罚</w:t>
      </w:r>
      <w:r>
        <w:rPr>
          <w:rFonts w:hint="eastAsia" w:ascii="宋体" w:hAnsi="宋体" w:cs="Times New Roman"/>
          <w:sz w:val="28"/>
          <w:szCs w:val="28"/>
          <w:highlight w:val="none"/>
        </w:rPr>
        <w:t>之外</w:t>
      </w:r>
      <w:r>
        <w:rPr>
          <w:rFonts w:ascii="宋体" w:hAnsi="宋体" w:cs="Times New Roman"/>
          <w:sz w:val="28"/>
          <w:szCs w:val="28"/>
          <w:highlight w:val="none"/>
        </w:rPr>
        <w:t>，还须按照附件2《工程安全文明环保施工合同》支付违约金。</w:t>
      </w:r>
    </w:p>
    <w:p w14:paraId="684CB6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12．技术成果权归属</w:t>
      </w:r>
    </w:p>
    <w:p w14:paraId="176D0B4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在施工过程中所取得的专利或专用技术等技术成果权属归：</w:t>
      </w:r>
    </w:p>
    <w:p w14:paraId="18DD99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52"/>
      </w:r>
      <w:r>
        <w:rPr>
          <w:rFonts w:ascii="宋体" w:hAnsi="宋体" w:cs="Times New Roman"/>
          <w:sz w:val="28"/>
          <w:szCs w:val="28"/>
          <w:highlight w:val="none"/>
        </w:rPr>
        <w:t xml:space="preserve">  甲方所有。</w:t>
      </w:r>
    </w:p>
    <w:p w14:paraId="33EC9A0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乙方所有</w:t>
      </w:r>
      <w:r>
        <w:rPr>
          <w:rFonts w:hint="eastAsia" w:ascii="宋体" w:hAnsi="宋体" w:cs="Times New Roman"/>
          <w:sz w:val="28"/>
          <w:szCs w:val="28"/>
          <w:highlight w:val="none"/>
        </w:rPr>
        <w:t>，</w:t>
      </w:r>
      <w:r>
        <w:rPr>
          <w:rFonts w:ascii="宋体" w:hAnsi="宋体" w:cs="Times New Roman"/>
          <w:sz w:val="28"/>
          <w:szCs w:val="28"/>
          <w:highlight w:val="none"/>
        </w:rPr>
        <w:t>甲方有权无偿使用。</w:t>
      </w:r>
    </w:p>
    <w:p w14:paraId="5F3E0B7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sym w:font="Wingdings 2" w:char="00A3"/>
      </w:r>
      <w:r>
        <w:rPr>
          <w:rFonts w:ascii="宋体" w:hAnsi="宋体" w:cs="Times New Roman"/>
          <w:sz w:val="28"/>
          <w:szCs w:val="28"/>
          <w:highlight w:val="none"/>
        </w:rPr>
        <w:t xml:space="preserve"> 双方共有（收益分成比例双方另行协商）。</w:t>
      </w:r>
    </w:p>
    <w:p w14:paraId="00CCB7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13．保密</w:t>
      </w:r>
    </w:p>
    <w:p w14:paraId="6570824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13.1 在合同履行期间，乙方所获得的图纸资料及在施工过程中所取得的与履行合同有关的工作成果属甲方所有，乙方负有保密义务。未经甲方书面同意，乙方不得在合同期内或合同履行完毕后以任何方式泄露</w:t>
      </w:r>
      <w:r>
        <w:rPr>
          <w:rFonts w:hint="eastAsia" w:ascii="宋体" w:hAnsi="宋体" w:cs="Times New Roman"/>
          <w:sz w:val="28"/>
          <w:szCs w:val="28"/>
          <w:highlight w:val="none"/>
          <w:lang w:eastAsia="zh-CN"/>
        </w:rPr>
        <w:t>，</w:t>
      </w:r>
      <w:r>
        <w:rPr>
          <w:rFonts w:hint="eastAsia" w:ascii="宋体" w:hAnsi="宋体" w:cs="Times New Roman"/>
          <w:sz w:val="28"/>
          <w:szCs w:val="28"/>
          <w:highlight w:val="none"/>
          <w:lang w:val="en-US" w:eastAsia="zh-CN"/>
        </w:rPr>
        <w:t>但有权为履行本合同而自行使用或提供给分包人使用</w:t>
      </w:r>
      <w:r>
        <w:rPr>
          <w:rFonts w:ascii="宋体" w:hAnsi="宋体" w:cs="Times New Roman"/>
          <w:sz w:val="28"/>
          <w:szCs w:val="28"/>
          <w:highlight w:val="none"/>
        </w:rPr>
        <w:t>。</w:t>
      </w:r>
    </w:p>
    <w:p w14:paraId="7ACB31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13.2 未经甲方书面同意，乙方不得把与合同有关的资料给出版社和新闻机构发表或学术引用，或者使用本合同任何部分进行促销和</w:t>
      </w:r>
      <w:r>
        <w:rPr>
          <w:rFonts w:hint="eastAsia" w:ascii="宋体" w:hAnsi="宋体" w:cs="Times New Roman"/>
          <w:sz w:val="28"/>
          <w:szCs w:val="28"/>
          <w:highlight w:val="none"/>
        </w:rPr>
        <w:t>作</w:t>
      </w:r>
      <w:r>
        <w:rPr>
          <w:rFonts w:ascii="宋体" w:hAnsi="宋体" w:cs="Times New Roman"/>
          <w:sz w:val="28"/>
          <w:szCs w:val="28"/>
          <w:highlight w:val="none"/>
        </w:rPr>
        <w:t>广告宣传。</w:t>
      </w:r>
    </w:p>
    <w:p w14:paraId="1B029A5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13.3 未经甲方书面同意，乙方不得应用本工程图纸资料。</w:t>
      </w:r>
    </w:p>
    <w:p w14:paraId="67F9FBE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13.4 对于乙方使用的新技术和新方法，甲方负有保密义务，未经乙方书面同意，不得以任何方式泄露。</w:t>
      </w:r>
    </w:p>
    <w:p w14:paraId="01F010E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13.5 本合同的保密条款在合同终止后，同样具有约束力。</w:t>
      </w:r>
    </w:p>
    <w:p w14:paraId="156500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14．权利瑕疵担保</w:t>
      </w:r>
    </w:p>
    <w:p w14:paraId="68D2A58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14．1 因执行本合同的需要，合同一方提供的与本合同工程技术有关的设备、材料、工序工艺及其他知识产权，应保障对方在使用时不存在权利上的瑕疵，不会发生侵犯第</w:t>
      </w:r>
      <w:r>
        <w:rPr>
          <w:rFonts w:hint="eastAsia" w:ascii="宋体" w:hAnsi="宋体" w:cs="Times New Roman"/>
          <w:sz w:val="28"/>
          <w:szCs w:val="28"/>
          <w:highlight w:val="none"/>
        </w:rPr>
        <w:t>三方</w:t>
      </w:r>
      <w:r>
        <w:rPr>
          <w:rFonts w:ascii="宋体" w:hAnsi="宋体" w:cs="Times New Roman"/>
          <w:sz w:val="28"/>
          <w:szCs w:val="28"/>
          <w:highlight w:val="none"/>
        </w:rPr>
        <w:t>专利权、商业机密等情况。若发生侵害第</w:t>
      </w:r>
      <w:r>
        <w:rPr>
          <w:rFonts w:hint="eastAsia" w:ascii="宋体" w:hAnsi="宋体" w:cs="Times New Roman"/>
          <w:sz w:val="28"/>
          <w:szCs w:val="28"/>
          <w:highlight w:val="none"/>
        </w:rPr>
        <w:t>三方</w:t>
      </w:r>
      <w:r>
        <w:rPr>
          <w:rFonts w:ascii="宋体" w:hAnsi="宋体" w:cs="Times New Roman"/>
          <w:sz w:val="28"/>
          <w:szCs w:val="28"/>
          <w:highlight w:val="none"/>
        </w:rPr>
        <w:t>权利的情况，提供方应负责与第</w:t>
      </w:r>
      <w:r>
        <w:rPr>
          <w:rFonts w:hint="eastAsia" w:ascii="宋体" w:hAnsi="宋体" w:cs="Times New Roman"/>
          <w:sz w:val="28"/>
          <w:szCs w:val="28"/>
          <w:highlight w:val="none"/>
        </w:rPr>
        <w:t>三方</w:t>
      </w:r>
      <w:r>
        <w:rPr>
          <w:rFonts w:ascii="宋体" w:hAnsi="宋体" w:cs="Times New Roman"/>
          <w:sz w:val="28"/>
          <w:szCs w:val="28"/>
          <w:highlight w:val="none"/>
        </w:rPr>
        <w:t>交涉，并承担由此产生的全部法律和经济责任。因侵权给合同相对人造成损失的应给予赔偿。</w:t>
      </w:r>
    </w:p>
    <w:p w14:paraId="7BCE9D8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15．对外关系</w:t>
      </w:r>
    </w:p>
    <w:p w14:paraId="4F603DC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15.1 乙方与其他专业服务队伍之间的工作关系由甲方负责协调，其他对外关系由乙方负责。</w:t>
      </w:r>
    </w:p>
    <w:p w14:paraId="4791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 保险</w:t>
      </w:r>
    </w:p>
    <w:p w14:paraId="2C2ABB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16.1</w:t>
      </w:r>
      <w:r>
        <w:rPr>
          <w:rFonts w:hint="eastAsia" w:ascii="宋体" w:hAnsi="宋体" w:cs="Times New Roman"/>
          <w:sz w:val="28"/>
          <w:szCs w:val="28"/>
          <w:highlight w:val="none"/>
          <w:lang w:val="en-US" w:eastAsia="zh-CN"/>
        </w:rPr>
        <w:t>乙</w:t>
      </w:r>
      <w:r>
        <w:rPr>
          <w:rFonts w:ascii="宋体" w:hAnsi="宋体" w:cs="Times New Roman"/>
          <w:sz w:val="28"/>
          <w:szCs w:val="28"/>
          <w:highlight w:val="none"/>
        </w:rPr>
        <w:t>方应当</w:t>
      </w:r>
      <w:r>
        <w:rPr>
          <w:rFonts w:hint="eastAsia" w:ascii="宋体" w:hAnsi="宋体" w:cs="Times New Roman"/>
          <w:sz w:val="28"/>
          <w:szCs w:val="28"/>
          <w:highlight w:val="none"/>
          <w:lang w:val="en-US" w:eastAsia="zh-CN"/>
        </w:rPr>
        <w:t>按本合同约定</w:t>
      </w:r>
      <w:r>
        <w:rPr>
          <w:rFonts w:ascii="宋体" w:hAnsi="宋体" w:cs="Times New Roman"/>
          <w:sz w:val="28"/>
          <w:szCs w:val="28"/>
          <w:highlight w:val="none"/>
        </w:rPr>
        <w:t>进行保险</w:t>
      </w:r>
      <w:r>
        <w:rPr>
          <w:rFonts w:hint="eastAsia" w:ascii="宋体" w:hAnsi="宋体" w:cs="Times New Roman"/>
          <w:sz w:val="28"/>
          <w:szCs w:val="28"/>
          <w:highlight w:val="none"/>
          <w:lang w:val="en-US" w:eastAsia="zh-CN"/>
        </w:rPr>
        <w:t>购买</w:t>
      </w:r>
      <w:r>
        <w:rPr>
          <w:rFonts w:ascii="宋体" w:hAnsi="宋体" w:cs="Times New Roman"/>
          <w:sz w:val="28"/>
          <w:szCs w:val="28"/>
          <w:highlight w:val="none"/>
        </w:rPr>
        <w:t>并承担其费用。</w:t>
      </w:r>
    </w:p>
    <w:p w14:paraId="2D91D6A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17．违约责任</w:t>
      </w:r>
    </w:p>
    <w:p w14:paraId="459B1F2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 乙方违约</w:t>
      </w:r>
    </w:p>
    <w:p w14:paraId="2A7BAB1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17.1.1  乙方违约</w:t>
      </w:r>
    </w:p>
    <w:p w14:paraId="7A12E67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在履行合同过程中，乙方发生下述行为之一者属乙方违约：</w:t>
      </w:r>
    </w:p>
    <w:p w14:paraId="591FDA7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乙方无正当理由未按开工通知的要求及时进点组织施工和未按</w:t>
      </w:r>
      <w:r>
        <w:rPr>
          <w:rFonts w:hint="eastAsia" w:ascii="宋体" w:hAnsi="宋体" w:cs="Times New Roman"/>
          <w:sz w:val="28"/>
          <w:szCs w:val="28"/>
          <w:highlight w:val="none"/>
          <w:lang w:val="en-US" w:eastAsia="zh-CN"/>
        </w:rPr>
        <w:t>合同规定</w:t>
      </w:r>
      <w:r>
        <w:rPr>
          <w:rFonts w:ascii="宋体" w:hAnsi="宋体" w:cs="Times New Roman"/>
          <w:sz w:val="28"/>
          <w:szCs w:val="28"/>
          <w:highlight w:val="none"/>
        </w:rPr>
        <w:t>有效地开展施工准备，造成工期延误。</w:t>
      </w:r>
    </w:p>
    <w:p w14:paraId="3DDB62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乙方违反第18条的规定私自将合同或合同的任何部分或任何权利转让给第三人，或私自将工程或工程的一部分分包出去。</w:t>
      </w:r>
    </w:p>
    <w:p w14:paraId="13DA720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未经甲方批准，乙方私自将已按合同规定进入工地的工程设备、施工设备、临时工程或材料撤离工地。</w:t>
      </w:r>
    </w:p>
    <w:p w14:paraId="622A000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乙方违反第7.5.1款的规定使用了不合格的材料和工程设备，并拒绝按第7.5.2款的规定处理不合格的工程、材料和工程设备。</w:t>
      </w:r>
    </w:p>
    <w:p w14:paraId="03EE1AE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由于乙方拒绝按合同进度计划及时完成合同规定的工程，而又未按第5.2.2款规定采取有效措施赶上进度，造成工期延误。</w:t>
      </w:r>
    </w:p>
    <w:p w14:paraId="713EE7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乙方在</w:t>
      </w:r>
      <w:r>
        <w:rPr>
          <w:rFonts w:hint="eastAsia" w:ascii="宋体" w:hAnsi="宋体" w:cs="Times New Roman"/>
          <w:sz w:val="28"/>
          <w:szCs w:val="28"/>
          <w:highlight w:val="none"/>
        </w:rPr>
        <w:t>质量保修期</w:t>
      </w:r>
      <w:r>
        <w:rPr>
          <w:rFonts w:ascii="宋体" w:hAnsi="宋体" w:cs="Times New Roman"/>
          <w:sz w:val="28"/>
          <w:szCs w:val="28"/>
          <w:highlight w:val="none"/>
        </w:rPr>
        <w:t>内拒绝按第</w:t>
      </w:r>
      <w:r>
        <w:rPr>
          <w:rFonts w:hint="eastAsia" w:ascii="宋体" w:hAnsi="宋体" w:cs="Times New Roman"/>
          <w:sz w:val="28"/>
          <w:szCs w:val="28"/>
          <w:highlight w:val="none"/>
        </w:rPr>
        <w:t>8.2.13</w:t>
      </w:r>
      <w:r>
        <w:rPr>
          <w:rFonts w:ascii="宋体" w:hAnsi="宋体" w:cs="Times New Roman"/>
          <w:sz w:val="28"/>
          <w:szCs w:val="28"/>
          <w:highlight w:val="none"/>
        </w:rPr>
        <w:t>条的规定和工程</w:t>
      </w:r>
      <w:r>
        <w:rPr>
          <w:rFonts w:hint="eastAsia" w:ascii="宋体" w:hAnsi="宋体" w:cs="Times New Roman"/>
          <w:sz w:val="28"/>
          <w:szCs w:val="28"/>
          <w:highlight w:val="none"/>
          <w:lang w:val="en-US" w:eastAsia="zh-CN"/>
        </w:rPr>
        <w:t>竣工验收</w:t>
      </w:r>
      <w:r>
        <w:rPr>
          <w:rFonts w:ascii="宋体" w:hAnsi="宋体" w:cs="Times New Roman"/>
          <w:sz w:val="28"/>
          <w:szCs w:val="28"/>
          <w:highlight w:val="none"/>
        </w:rPr>
        <w:t>证书中所列的缺陷清单内容进行修复，或经甲方检验认为修复质量不合格而乙方拒绝再进行修补。</w:t>
      </w:r>
    </w:p>
    <w:p w14:paraId="1612BD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(7) 乙方否认合同有效或拒绝履行合同规定的乙方义务，或由于法律、财务等原因导致乙方无法继续履行或实质上已停止履行本合同的义务。</w:t>
      </w:r>
    </w:p>
    <w:p w14:paraId="226484F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（8）因乙方原因发生工程质量事故。</w:t>
      </w:r>
    </w:p>
    <w:p w14:paraId="467B491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（9）非经甲方同意，乙方用于本工程的材料与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文件不一致的，视为乙方违约。乙方必须在24小时内拆换与</w:t>
      </w:r>
      <w:r>
        <w:rPr>
          <w:rFonts w:hint="eastAsia" w:ascii="宋体" w:hAnsi="宋体" w:cs="Times New Roman"/>
          <w:sz w:val="28"/>
          <w:szCs w:val="28"/>
          <w:highlight w:val="none"/>
        </w:rPr>
        <w:t>比选申请</w:t>
      </w:r>
      <w:r>
        <w:rPr>
          <w:rFonts w:ascii="宋体" w:hAnsi="宋体" w:cs="Times New Roman"/>
          <w:sz w:val="28"/>
          <w:szCs w:val="28"/>
          <w:highlight w:val="none"/>
        </w:rPr>
        <w:t>文件不一致的材料或设备，并承担由此造成的工期延误及其它损失，且每发生一次此类情况，乙方须向甲方支付违约金5000元。</w:t>
      </w:r>
    </w:p>
    <w:p w14:paraId="12FA67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（10）若乙方不按时报送报表，或报送报表质量不合格，甲方有权要求乙方更换相关人员，同时乙方向甲方</w:t>
      </w:r>
      <w:r>
        <w:rPr>
          <w:rFonts w:hint="eastAsia" w:ascii="宋体" w:hAnsi="宋体" w:cs="Times New Roman"/>
          <w:sz w:val="28"/>
          <w:szCs w:val="28"/>
          <w:highlight w:val="none"/>
        </w:rPr>
        <w:t>缴纳</w:t>
      </w:r>
      <w:r>
        <w:rPr>
          <w:rFonts w:ascii="宋体" w:hAnsi="宋体" w:cs="Times New Roman"/>
          <w:sz w:val="28"/>
          <w:szCs w:val="28"/>
          <w:highlight w:val="none"/>
        </w:rPr>
        <w:t>违约金1000-5000元。</w:t>
      </w:r>
    </w:p>
    <w:p w14:paraId="26057EFD">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rPr>
        <w:t>（11）若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或监理人发现有未签订劳动合同的劳动者在现场施工，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元/人次。若</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或监理人发现工地上有未签订劳务分包合同或劳务分包合同未进行备案的劳务企业人员在现场施工，</w:t>
      </w:r>
      <w:r>
        <w:rPr>
          <w:rFonts w:hint="eastAsia" w:ascii="宋体" w:hAnsi="宋体" w:cs="Times New Roman"/>
          <w:sz w:val="28"/>
          <w:szCs w:val="28"/>
          <w:highlight w:val="none"/>
          <w:lang w:val="en-US" w:eastAsia="zh-CN"/>
        </w:rPr>
        <w:t>乙方</w:t>
      </w:r>
      <w:r>
        <w:rPr>
          <w:rFonts w:hint="eastAsia" w:ascii="宋体" w:hAnsi="宋体" w:cs="Times New Roman"/>
          <w:sz w:val="28"/>
          <w:szCs w:val="28"/>
          <w:highlight w:val="none"/>
        </w:rPr>
        <w:t>应向</w:t>
      </w:r>
      <w:r>
        <w:rPr>
          <w:rFonts w:hint="eastAsia" w:ascii="宋体" w:hAnsi="宋体" w:cs="Times New Roman"/>
          <w:sz w:val="28"/>
          <w:szCs w:val="28"/>
          <w:highlight w:val="none"/>
          <w:lang w:val="en-US" w:eastAsia="zh-CN"/>
        </w:rPr>
        <w:t>甲方</w:t>
      </w:r>
      <w:r>
        <w:rPr>
          <w:rFonts w:hint="eastAsia" w:ascii="宋体" w:hAnsi="宋体" w:cs="Times New Roman"/>
          <w:sz w:val="28"/>
          <w:szCs w:val="28"/>
          <w:highlight w:val="none"/>
        </w:rPr>
        <w:t>支付违约金</w:t>
      </w:r>
      <w:r>
        <w:rPr>
          <w:rFonts w:hint="eastAsia" w:ascii="宋体" w:hAnsi="宋体" w:cs="Times New Roman"/>
          <w:sz w:val="28"/>
          <w:szCs w:val="28"/>
          <w:highlight w:val="none"/>
          <w:u w:val="single"/>
          <w:lang w:val="en-US" w:eastAsia="zh-CN"/>
        </w:rPr>
        <w:t xml:space="preserve"> 2000 </w:t>
      </w:r>
      <w:r>
        <w:rPr>
          <w:rFonts w:hint="eastAsia" w:ascii="宋体" w:hAnsi="宋体" w:cs="Times New Roman"/>
          <w:sz w:val="28"/>
          <w:szCs w:val="28"/>
          <w:highlight w:val="none"/>
        </w:rPr>
        <w:t>元/人次。</w:t>
      </w:r>
    </w:p>
    <w:p w14:paraId="715368F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17.1.2 对承包违约发出警告</w:t>
      </w:r>
    </w:p>
    <w:p w14:paraId="258E97B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发生第17.1款的违约行为时，甲方应及时向乙方发出书面警告限令其在收到书面警告后的5天内予以改正。乙方应立即采取有效措施认真改正，并尽可能挽回由于违约造成的延误和损失。由于乙方采取改正措施所增加的费用，应由乙方承担。</w:t>
      </w:r>
    </w:p>
    <w:p w14:paraId="3BA1289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17.1.3 责令乙方停工整改</w:t>
      </w:r>
    </w:p>
    <w:p w14:paraId="37CBA59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在收到书面警告后的5天内仍不采取有效措施改正其违约行为，继续延误工期或严重影响工程质量，甚至危及工程安全，甲方可暂停支付工程价款，并按规定暂停其工程或部分工程施工，责令其停工整改，并限令乙方在3天内提交整改报告报送甲方，由此增加的费用和工期延误责任由乙方承担。</w:t>
      </w:r>
    </w:p>
    <w:p w14:paraId="06C313A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17.1.4 乙方违约解除合同</w:t>
      </w:r>
    </w:p>
    <w:p w14:paraId="02CE33C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发出停工整改通知7天后，乙方继续无视甲方的指示，仍不提交整改报告，亦不采取整改措施，则甲方可通知乙方解除合同。甲方发出解除通知3天后派员进驻工地直接监管工程，使用乙方设备、临时工程和材料，另行组织人员或委托其他单位施工，但甲方的这一行动不免除乙方按合同规定应负的责任。</w:t>
      </w:r>
    </w:p>
    <w:p w14:paraId="64CA9A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17.1.5 解除合同后的估价</w:t>
      </w:r>
    </w:p>
    <w:p w14:paraId="1409BA6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因乙方违约解除合同后，甲方应尽快通过调查取证并与乙方协商后确定并证明：</w:t>
      </w:r>
    </w:p>
    <w:p w14:paraId="2459B1D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在解除合同时，乙方根据合同实际完成的经甲方</w:t>
      </w:r>
      <w:r>
        <w:rPr>
          <w:rFonts w:hint="eastAsia" w:ascii="宋体" w:hAnsi="宋体" w:cs="Times New Roman"/>
          <w:sz w:val="28"/>
          <w:szCs w:val="28"/>
          <w:highlight w:val="none"/>
        </w:rPr>
        <w:t>书面</w:t>
      </w:r>
      <w:r>
        <w:rPr>
          <w:rFonts w:ascii="宋体" w:hAnsi="宋体" w:cs="Times New Roman"/>
          <w:sz w:val="28"/>
          <w:szCs w:val="28"/>
          <w:highlight w:val="none"/>
        </w:rPr>
        <w:t>认可的工作已经得到或应得到的金额。</w:t>
      </w:r>
    </w:p>
    <w:p w14:paraId="11D31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(2)已经部分使用的材料、乙方设备和临时工程等的估算金额。</w:t>
      </w:r>
    </w:p>
    <w:p w14:paraId="7602EA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17.1.6 解除合同后的付款</w:t>
      </w:r>
    </w:p>
    <w:p w14:paraId="24CC4DE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若因乙方违约解除合同，则甲方应暂停对乙方的一切付款，并应在解除合同后</w:t>
      </w:r>
      <w:r>
        <w:rPr>
          <w:rFonts w:hint="eastAsia" w:ascii="宋体" w:hAnsi="宋体" w:cs="Times New Roman"/>
          <w:sz w:val="28"/>
          <w:szCs w:val="28"/>
          <w:highlight w:val="none"/>
          <w:lang w:val="en-US" w:eastAsia="zh-CN"/>
        </w:rPr>
        <w:t>合理</w:t>
      </w:r>
      <w:r>
        <w:rPr>
          <w:rFonts w:ascii="宋体" w:hAnsi="宋体" w:cs="Times New Roman"/>
          <w:sz w:val="28"/>
          <w:szCs w:val="28"/>
          <w:highlight w:val="none"/>
        </w:rPr>
        <w:t>的时间</w:t>
      </w:r>
      <w:r>
        <w:rPr>
          <w:rFonts w:hint="eastAsia" w:ascii="宋体" w:hAnsi="宋体" w:cs="Times New Roman"/>
          <w:sz w:val="28"/>
          <w:szCs w:val="28"/>
          <w:highlight w:val="none"/>
          <w:lang w:val="en-US" w:eastAsia="zh-CN"/>
        </w:rPr>
        <w:t>内</w:t>
      </w:r>
      <w:r>
        <w:rPr>
          <w:rFonts w:ascii="宋体" w:hAnsi="宋体" w:cs="Times New Roman"/>
          <w:sz w:val="28"/>
          <w:szCs w:val="28"/>
          <w:highlight w:val="none"/>
        </w:rPr>
        <w:t>，查清以下付款金额。</w:t>
      </w:r>
    </w:p>
    <w:p w14:paraId="482D2B5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乙方按合同规定已完成的各项工作应得的金额和其它应得的金额；</w:t>
      </w:r>
    </w:p>
    <w:p w14:paraId="316FAAE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乙方已获得甲方的各项付款金额；</w:t>
      </w:r>
    </w:p>
    <w:p w14:paraId="70AAA85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乙方按合同规定应支付的逾期竣工违约金和其它应付金额；</w:t>
      </w:r>
    </w:p>
    <w:p w14:paraId="7191289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由于解除合同，乙方</w:t>
      </w:r>
      <w:r>
        <w:rPr>
          <w:rFonts w:hint="eastAsia" w:ascii="宋体" w:hAnsi="宋体" w:cs="Times New Roman"/>
          <w:sz w:val="28"/>
          <w:szCs w:val="28"/>
          <w:highlight w:val="none"/>
        </w:rPr>
        <w:t>向甲方支付</w:t>
      </w:r>
      <w:r>
        <w:rPr>
          <w:rFonts w:hint="eastAsia" w:ascii="宋体" w:hAnsi="宋体" w:cs="Times New Roman"/>
          <w:sz w:val="28"/>
          <w:szCs w:val="28"/>
          <w:highlight w:val="none"/>
          <w:lang w:val="en-US" w:eastAsia="zh-CN"/>
        </w:rPr>
        <w:t>暂定</w:t>
      </w:r>
      <w:r>
        <w:rPr>
          <w:rFonts w:hint="eastAsia" w:ascii="宋体" w:hAnsi="宋体" w:cs="Times New Roman"/>
          <w:sz w:val="28"/>
          <w:szCs w:val="28"/>
          <w:highlight w:val="none"/>
        </w:rPr>
        <w:t>合同</w:t>
      </w:r>
      <w:r>
        <w:rPr>
          <w:rFonts w:ascii="宋体" w:hAnsi="宋体" w:cs="Times New Roman"/>
          <w:sz w:val="28"/>
          <w:szCs w:val="28"/>
          <w:highlight w:val="none"/>
        </w:rPr>
        <w:t>总金额的30%</w:t>
      </w:r>
      <w:r>
        <w:rPr>
          <w:rFonts w:hint="eastAsia" w:ascii="宋体" w:hAnsi="宋体" w:cs="Times New Roman"/>
          <w:sz w:val="28"/>
          <w:szCs w:val="28"/>
          <w:highlight w:val="none"/>
        </w:rPr>
        <w:t>作为违约金，若违约金不足以弥补甲方损失，乙方还应另行支付损害赔偿金</w:t>
      </w:r>
      <w:r>
        <w:rPr>
          <w:rFonts w:ascii="宋体" w:hAnsi="宋体" w:cs="Times New Roman"/>
          <w:sz w:val="28"/>
          <w:szCs w:val="28"/>
          <w:highlight w:val="none"/>
        </w:rPr>
        <w:t>。</w:t>
      </w:r>
    </w:p>
    <w:p w14:paraId="3F58179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查清以上付款金额前，甲方可不再向乙方支付合同规定的任何金额。此后，乙方有权得到按本款(1)项 1)减去2)、3)和4)的余额，若上述2)、3)和4)相加的金额超过1)的金额时，则乙方应将超出部分付还给甲方。</w:t>
      </w:r>
      <w:r>
        <w:rPr>
          <w:rFonts w:hint="eastAsia" w:ascii="宋体" w:hAnsi="宋体" w:cs="Times New Roman"/>
          <w:sz w:val="28"/>
          <w:szCs w:val="28"/>
          <w:highlight w:val="none"/>
        </w:rPr>
        <w:t>必要时，甲方有权动用乙方的履约保证金，用于乙方赔付对甲方造成的损失。</w:t>
      </w:r>
    </w:p>
    <w:p w14:paraId="4FD29D5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17.1.7 协议利益的转让</w:t>
      </w:r>
    </w:p>
    <w:p w14:paraId="57DF83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若因乙方违约解除合同，则甲方为保证工程延续施工，有权要求乙方，将其为实施本合同而签订的任何材料和设备的提供或任何服务的协议和利益</w:t>
      </w:r>
      <w:r>
        <w:rPr>
          <w:rFonts w:hint="eastAsia" w:ascii="宋体" w:hAnsi="宋体" w:cs="Times New Roman"/>
          <w:sz w:val="28"/>
          <w:szCs w:val="28"/>
          <w:highlight w:val="none"/>
          <w:lang w:val="en-US" w:eastAsia="zh-CN"/>
        </w:rPr>
        <w:t>按甲方要求进行</w:t>
      </w:r>
      <w:r>
        <w:rPr>
          <w:rFonts w:ascii="宋体" w:hAnsi="宋体" w:cs="Times New Roman"/>
          <w:sz w:val="28"/>
          <w:szCs w:val="28"/>
          <w:highlight w:val="none"/>
        </w:rPr>
        <w:t>转让，并在解除合同后的7天内，通过法律程序办理</w:t>
      </w:r>
      <w:r>
        <w:rPr>
          <w:rFonts w:hint="eastAsia" w:ascii="宋体" w:hAnsi="宋体" w:cs="Times New Roman"/>
          <w:sz w:val="28"/>
          <w:szCs w:val="28"/>
          <w:highlight w:val="none"/>
        </w:rPr>
        <w:t>相关</w:t>
      </w:r>
      <w:r>
        <w:rPr>
          <w:rFonts w:ascii="宋体" w:hAnsi="宋体" w:cs="Times New Roman"/>
          <w:sz w:val="28"/>
          <w:szCs w:val="28"/>
          <w:highlight w:val="none"/>
        </w:rPr>
        <w:t>转让</w:t>
      </w:r>
      <w:r>
        <w:rPr>
          <w:rFonts w:hint="eastAsia" w:ascii="宋体" w:hAnsi="宋体" w:cs="Times New Roman"/>
          <w:sz w:val="28"/>
          <w:szCs w:val="28"/>
          <w:highlight w:val="none"/>
        </w:rPr>
        <w:t>手续</w:t>
      </w:r>
      <w:r>
        <w:rPr>
          <w:rFonts w:ascii="宋体" w:hAnsi="宋体" w:cs="Times New Roman"/>
          <w:sz w:val="28"/>
          <w:szCs w:val="28"/>
          <w:highlight w:val="none"/>
        </w:rPr>
        <w:t>。</w:t>
      </w:r>
    </w:p>
    <w:p w14:paraId="1127DAC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17.1.8 紧急情况下无能力或不愿进行抢救</w:t>
      </w:r>
    </w:p>
    <w:p w14:paraId="14047E9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在工程实施期间或</w:t>
      </w:r>
      <w:r>
        <w:rPr>
          <w:rFonts w:hint="eastAsia" w:ascii="宋体" w:hAnsi="宋体" w:cs="Times New Roman"/>
          <w:sz w:val="28"/>
          <w:szCs w:val="28"/>
          <w:highlight w:val="none"/>
        </w:rPr>
        <w:t>质量保修期</w:t>
      </w:r>
      <w:r>
        <w:rPr>
          <w:rFonts w:ascii="宋体" w:hAnsi="宋体" w:cs="Times New Roman"/>
          <w:sz w:val="28"/>
          <w:szCs w:val="28"/>
          <w:highlight w:val="none"/>
        </w:rPr>
        <w:t>内发生危及工程安全的事件，当甲方通知乙方进行抢救时，乙方声明无能力执行或不愿立即执行，则甲方有权雇用其他人员进行该项工作。由此引起的费用应在甲方支付给乙方的金额中扣除。</w:t>
      </w:r>
    </w:p>
    <w:p w14:paraId="45F970A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 甲方违约</w:t>
      </w:r>
    </w:p>
    <w:p w14:paraId="0E4D57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17.2.1 甲方违约</w:t>
      </w:r>
    </w:p>
    <w:p w14:paraId="6CF96B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在履行合同过程中，甲方发生下述行为之一者属甲方违约：</w:t>
      </w:r>
    </w:p>
    <w:p w14:paraId="063CEBEC">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（1）</w:t>
      </w:r>
      <w:r>
        <w:rPr>
          <w:rFonts w:ascii="宋体" w:hAnsi="宋体" w:cs="Times New Roman"/>
          <w:sz w:val="28"/>
          <w:szCs w:val="28"/>
          <w:highlight w:val="none"/>
        </w:rPr>
        <w:t>甲方未能按合同规定的内容和时间提供施工</w:t>
      </w:r>
      <w:r>
        <w:rPr>
          <w:rFonts w:hint="default" w:ascii="宋体" w:hAnsi="宋体" w:cs="Times New Roman"/>
          <w:sz w:val="28"/>
          <w:szCs w:val="28"/>
          <w:highlight w:val="none"/>
          <w:lang w:val="en-US" w:eastAsia="zh-CN"/>
        </w:rPr>
        <w:t>图纸</w:t>
      </w:r>
      <w:r>
        <w:rPr>
          <w:rFonts w:ascii="宋体" w:hAnsi="宋体" w:cs="Times New Roman"/>
          <w:sz w:val="28"/>
          <w:szCs w:val="28"/>
          <w:highlight w:val="none"/>
        </w:rPr>
        <w:t>和应由甲方负责的部分准备工</w:t>
      </w:r>
      <w:r>
        <w:rPr>
          <w:rFonts w:hint="default" w:ascii="宋体" w:hAnsi="宋体" w:cs="Times New Roman"/>
          <w:sz w:val="28"/>
          <w:szCs w:val="28"/>
          <w:highlight w:val="none"/>
        </w:rPr>
        <w:t>作</w:t>
      </w:r>
      <w:r>
        <w:rPr>
          <w:rFonts w:ascii="宋体" w:hAnsi="宋体" w:cs="Times New Roman"/>
          <w:sz w:val="28"/>
          <w:szCs w:val="28"/>
          <w:highlight w:val="none"/>
        </w:rPr>
        <w:t>等</w:t>
      </w:r>
      <w:r>
        <w:rPr>
          <w:rFonts w:hint="default" w:ascii="宋体" w:hAnsi="宋体" w:cs="Times New Roman"/>
          <w:sz w:val="28"/>
          <w:szCs w:val="28"/>
          <w:highlight w:val="none"/>
        </w:rPr>
        <w:t>未达到</w:t>
      </w:r>
      <w:r>
        <w:rPr>
          <w:rFonts w:ascii="宋体" w:hAnsi="宋体" w:cs="Times New Roman"/>
          <w:sz w:val="28"/>
          <w:szCs w:val="28"/>
          <w:highlight w:val="none"/>
        </w:rPr>
        <w:t>乙方施工所需的条件。</w:t>
      </w:r>
    </w:p>
    <w:p w14:paraId="0B3016D5">
      <w:pPr>
        <w:spacing w:line="600" w:lineRule="exact"/>
        <w:ind w:firstLine="560" w:firstLineChars="200"/>
        <w:rPr>
          <w:rFonts w:ascii="宋体" w:hAnsi="宋体" w:cs="Times New Roman"/>
          <w:sz w:val="28"/>
          <w:szCs w:val="28"/>
          <w:highlight w:val="none"/>
        </w:rPr>
      </w:pPr>
      <w:r>
        <w:rPr>
          <w:rFonts w:hint="default" w:ascii="宋体" w:hAnsi="宋体" w:cs="Times New Roman"/>
          <w:sz w:val="28"/>
          <w:szCs w:val="28"/>
          <w:highlight w:val="none"/>
        </w:rPr>
        <w:t>（2）</w:t>
      </w:r>
      <w:r>
        <w:rPr>
          <w:rFonts w:ascii="宋体" w:hAnsi="宋体" w:cs="Times New Roman"/>
          <w:sz w:val="28"/>
          <w:szCs w:val="28"/>
          <w:highlight w:val="none"/>
        </w:rPr>
        <w:t>甲方未能按合同规定的期限向乙方</w:t>
      </w:r>
      <w:r>
        <w:rPr>
          <w:rFonts w:hint="default" w:ascii="宋体" w:hAnsi="宋体" w:cs="Times New Roman"/>
          <w:sz w:val="28"/>
          <w:szCs w:val="28"/>
          <w:highlight w:val="none"/>
          <w:lang w:val="en-US" w:eastAsia="zh-CN"/>
        </w:rPr>
        <w:t>支付工程款项</w:t>
      </w:r>
      <w:r>
        <w:rPr>
          <w:rFonts w:ascii="宋体" w:hAnsi="宋体" w:cs="Times New Roman"/>
          <w:sz w:val="28"/>
          <w:szCs w:val="28"/>
          <w:highlight w:val="none"/>
        </w:rPr>
        <w:t>。</w:t>
      </w:r>
    </w:p>
    <w:p w14:paraId="16188E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17.2.2 乙方有权暂停施工</w:t>
      </w:r>
    </w:p>
    <w:p w14:paraId="0BE1BED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若发生第17.2</w:t>
      </w:r>
      <w:r>
        <w:rPr>
          <w:rFonts w:hint="default" w:ascii="宋体" w:hAnsi="宋体" w:cs="Times New Roman"/>
          <w:sz w:val="28"/>
          <w:szCs w:val="28"/>
          <w:highlight w:val="none"/>
        </w:rPr>
        <w:t>.1</w:t>
      </w:r>
      <w:r>
        <w:rPr>
          <w:rFonts w:ascii="宋体" w:hAnsi="宋体" w:cs="Times New Roman"/>
          <w:sz w:val="28"/>
          <w:szCs w:val="28"/>
          <w:highlight w:val="none"/>
        </w:rPr>
        <w:t>款(1)、(2)项的违约时，乙方应及时向甲方发出通知，要求甲方采取有效措施限期提供上述条件</w:t>
      </w:r>
      <w:r>
        <w:rPr>
          <w:rFonts w:hint="default" w:ascii="宋体" w:hAnsi="宋体" w:cs="Times New Roman"/>
          <w:sz w:val="28"/>
          <w:szCs w:val="28"/>
          <w:highlight w:val="none"/>
          <w:lang w:eastAsia="zh-CN"/>
        </w:rPr>
        <w:t>、</w:t>
      </w:r>
      <w:r>
        <w:rPr>
          <w:rFonts w:ascii="宋体" w:hAnsi="宋体" w:cs="Times New Roman"/>
          <w:sz w:val="28"/>
          <w:szCs w:val="28"/>
          <w:highlight w:val="none"/>
        </w:rPr>
        <w:t>图纸</w:t>
      </w:r>
      <w:r>
        <w:rPr>
          <w:rFonts w:hint="default" w:ascii="宋体" w:hAnsi="宋体" w:cs="Times New Roman"/>
          <w:sz w:val="28"/>
          <w:szCs w:val="28"/>
          <w:highlight w:val="none"/>
          <w:lang w:val="en-US" w:eastAsia="zh-CN"/>
        </w:rPr>
        <w:t>以及支付款项</w:t>
      </w:r>
      <w:r>
        <w:rPr>
          <w:rFonts w:ascii="宋体" w:hAnsi="宋体" w:cs="Times New Roman"/>
          <w:sz w:val="28"/>
          <w:szCs w:val="28"/>
          <w:highlight w:val="none"/>
        </w:rPr>
        <w:t>，并有权要求延长工期</w:t>
      </w:r>
      <w:r>
        <w:rPr>
          <w:rFonts w:hint="default" w:ascii="宋体" w:hAnsi="宋体" w:cs="Times New Roman"/>
          <w:sz w:val="28"/>
          <w:szCs w:val="28"/>
          <w:highlight w:val="none"/>
        </w:rPr>
        <w:t>，具体延长时间应经甲方审核通过</w:t>
      </w:r>
      <w:r>
        <w:rPr>
          <w:rFonts w:ascii="宋体" w:hAnsi="宋体" w:cs="Times New Roman"/>
          <w:sz w:val="28"/>
          <w:szCs w:val="28"/>
          <w:highlight w:val="none"/>
        </w:rPr>
        <w:t>。甲方收到乙方通知后，应立即与乙方共同协商补救办法。</w:t>
      </w:r>
    </w:p>
    <w:p w14:paraId="070144A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17.2.3 解除合同后的付款</w:t>
      </w:r>
    </w:p>
    <w:p w14:paraId="60806F8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若因甲方违约</w:t>
      </w:r>
      <w:r>
        <w:rPr>
          <w:rFonts w:hint="default" w:ascii="宋体" w:hAnsi="宋体" w:cs="Times New Roman"/>
          <w:sz w:val="28"/>
          <w:szCs w:val="28"/>
          <w:highlight w:val="none"/>
        </w:rPr>
        <w:t>，双方可协商</w:t>
      </w:r>
      <w:r>
        <w:rPr>
          <w:rFonts w:ascii="宋体" w:hAnsi="宋体" w:cs="Times New Roman"/>
          <w:sz w:val="28"/>
          <w:szCs w:val="28"/>
          <w:highlight w:val="none"/>
        </w:rPr>
        <w:t>解除合同，则甲方应在解除合同后28天内向乙方支付合同解除日以前乙方所完成工程对应的价款和以下费用（应减去已支付给乙方的金额）：</w:t>
      </w:r>
    </w:p>
    <w:p w14:paraId="5CF5A21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即将支付乙方的，或乙方依法应予接收的为该工程合理订购的材料、工程设备和其它物品的费用。甲方一经支付此项费用，该材料、工程设备和其它物品即成为甲方的财产。</w:t>
      </w:r>
    </w:p>
    <w:p w14:paraId="2D7A8A8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已合理开支的、确属乙方为完成工程所发生的而甲方应付未支付的费用。</w:t>
      </w:r>
    </w:p>
    <w:p w14:paraId="45B2ADC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乙方设备运回乙方基地或合同另行规定的地点费用。</w:t>
      </w:r>
    </w:p>
    <w:p w14:paraId="27CB817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由于解除合同应补偿乙方损失的费用和利润，补偿总金额</w:t>
      </w:r>
      <w:r>
        <w:rPr>
          <w:rFonts w:hint="eastAsia" w:ascii="宋体" w:hAnsi="宋体" w:cs="Times New Roman"/>
          <w:sz w:val="28"/>
          <w:szCs w:val="28"/>
          <w:highlight w:val="none"/>
          <w:lang w:val="en-US" w:eastAsia="zh-CN"/>
        </w:rPr>
        <w:t>以乙方实际损失为限</w:t>
      </w:r>
      <w:r>
        <w:rPr>
          <w:rFonts w:ascii="宋体" w:hAnsi="宋体" w:cs="Times New Roman"/>
          <w:sz w:val="28"/>
          <w:szCs w:val="28"/>
          <w:highlight w:val="none"/>
        </w:rPr>
        <w:t>。</w:t>
      </w:r>
    </w:p>
    <w:p w14:paraId="308FD82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 索赔</w:t>
      </w:r>
    </w:p>
    <w:p w14:paraId="63B20E6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17.3.1 索赔的提出</w:t>
      </w:r>
    </w:p>
    <w:p w14:paraId="6277A0E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乙方有权根据本合同</w:t>
      </w:r>
      <w:r>
        <w:rPr>
          <w:rFonts w:hint="eastAsia" w:ascii="宋体" w:hAnsi="宋体" w:cs="Times New Roman"/>
          <w:sz w:val="28"/>
          <w:szCs w:val="28"/>
          <w:highlight w:val="none"/>
        </w:rPr>
        <w:t>所有</w:t>
      </w:r>
      <w:r>
        <w:rPr>
          <w:rFonts w:ascii="宋体" w:hAnsi="宋体" w:cs="Times New Roman"/>
          <w:sz w:val="28"/>
          <w:szCs w:val="28"/>
          <w:highlight w:val="none"/>
        </w:rPr>
        <w:t>条款及其它有关规定，向甲方索取追加付款，但应在索赔事件发生后的7天内，将索赔意向书提交甲方。在上述意向书发出后的7天内，再向甲方提交索赔申请报告，详细说明索赔理由和索赔费用的计算依据，并应附必要的当时记录和证明材料。如果索赔事件继续发展或继续产生影响，乙方应按甲方要求的合理时间间隔列出索赔累计金额和提出中期索赔申请报告，并在索赔事件影响结束后的7天内，向甲方提交包括最终索赔金额、延续记录、证明材料在内的最终索赔申请报告。</w:t>
      </w:r>
    </w:p>
    <w:p w14:paraId="6EC8901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17.3.2 索赔的处理</w:t>
      </w:r>
    </w:p>
    <w:p w14:paraId="2F4EC4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甲方收到乙方提交的索赔意向书后，应及时核查乙方的当时记录，并可指示乙方提供进一步的支持文件和继续</w:t>
      </w:r>
      <w:r>
        <w:rPr>
          <w:rFonts w:hint="eastAsia" w:ascii="宋体" w:hAnsi="宋体" w:cs="Times New Roman"/>
          <w:sz w:val="28"/>
          <w:szCs w:val="28"/>
          <w:highlight w:val="none"/>
        </w:rPr>
        <w:t>做好</w:t>
      </w:r>
      <w:r>
        <w:rPr>
          <w:rFonts w:ascii="宋体" w:hAnsi="宋体" w:cs="Times New Roman"/>
          <w:sz w:val="28"/>
          <w:szCs w:val="28"/>
          <w:highlight w:val="none"/>
        </w:rPr>
        <w:t>延续记录以备核查，甲方有权要求乙方提交全部记录的副本。</w:t>
      </w:r>
    </w:p>
    <w:p w14:paraId="420696F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甲方收到乙方提交的索赔申请报告和最终索赔申请报告后的28天内，应立即进行审核，在上述期限内将索赔处理决定通知乙方。</w:t>
      </w:r>
    </w:p>
    <w:p w14:paraId="035C30B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乙方应得到的付款不能超过甲方核实后决定的金额。</w:t>
      </w:r>
    </w:p>
    <w:p w14:paraId="19A4F5F1">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18．工程分包</w:t>
      </w:r>
    </w:p>
    <w:p w14:paraId="3501599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lang w:val="zh-TW" w:eastAsia="zh-TW"/>
        </w:rPr>
        <w:t>本项目不允许</w:t>
      </w:r>
      <w:r>
        <w:rPr>
          <w:rFonts w:ascii="宋体" w:hAnsi="宋体" w:cs="Times New Roman"/>
          <w:sz w:val="28"/>
          <w:szCs w:val="28"/>
          <w:highlight w:val="none"/>
          <w:lang w:val="zh-TW"/>
        </w:rPr>
        <w:t>转包或</w:t>
      </w:r>
      <w:r>
        <w:rPr>
          <w:rFonts w:ascii="宋体" w:hAnsi="宋体" w:cs="Times New Roman"/>
          <w:sz w:val="28"/>
          <w:szCs w:val="28"/>
          <w:highlight w:val="none"/>
        </w:rPr>
        <w:t>违法</w:t>
      </w:r>
      <w:r>
        <w:rPr>
          <w:rFonts w:ascii="宋体" w:hAnsi="宋体" w:cs="Times New Roman"/>
          <w:sz w:val="28"/>
          <w:szCs w:val="28"/>
          <w:highlight w:val="none"/>
          <w:lang w:val="zh-TW" w:eastAsia="zh-TW"/>
        </w:rPr>
        <w:t>分包。</w:t>
      </w:r>
    </w:p>
    <w:p w14:paraId="41994D4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19．争议的解决</w:t>
      </w:r>
    </w:p>
    <w:p w14:paraId="5970941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本合同履行过程中发生争议，双方协商解决。如协商不成，通过向</w:t>
      </w:r>
      <w:r>
        <w:rPr>
          <w:rFonts w:hint="eastAsia" w:ascii="宋体" w:hAnsi="宋体" w:cs="Times New Roman"/>
          <w:sz w:val="28"/>
          <w:szCs w:val="28"/>
          <w:highlight w:val="none"/>
          <w:lang w:val="en-US" w:eastAsia="zh-CN"/>
        </w:rPr>
        <w:t>甲方所在地</w:t>
      </w:r>
      <w:r>
        <w:rPr>
          <w:rFonts w:ascii="宋体" w:hAnsi="宋体" w:cs="Times New Roman"/>
          <w:sz w:val="28"/>
          <w:szCs w:val="28"/>
          <w:highlight w:val="none"/>
        </w:rPr>
        <w:t>人民法院提起诉讼的方式解决。</w:t>
      </w:r>
    </w:p>
    <w:p w14:paraId="6AEC7B9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20．组成本合同文件及优先解释顺序如下：</w:t>
      </w:r>
    </w:p>
    <w:p w14:paraId="0CD89CE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20.1本合同</w:t>
      </w:r>
    </w:p>
    <w:p w14:paraId="6C92BAC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20.2</w:t>
      </w:r>
      <w:r>
        <w:rPr>
          <w:rFonts w:hint="eastAsia" w:ascii="宋体" w:hAnsi="宋体" w:cs="Times New Roman"/>
          <w:sz w:val="28"/>
          <w:szCs w:val="28"/>
          <w:highlight w:val="none"/>
        </w:rPr>
        <w:t>中选</w:t>
      </w:r>
      <w:r>
        <w:rPr>
          <w:rFonts w:ascii="宋体" w:hAnsi="宋体" w:cs="Times New Roman"/>
          <w:sz w:val="28"/>
          <w:szCs w:val="28"/>
          <w:highlight w:val="none"/>
        </w:rPr>
        <w:t>通知书</w:t>
      </w:r>
    </w:p>
    <w:p w14:paraId="25BD0E0E">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20.3</w:t>
      </w:r>
      <w:r>
        <w:rPr>
          <w:rFonts w:hint="eastAsia" w:ascii="宋体" w:hAnsi="宋体" w:cs="Times New Roman"/>
          <w:sz w:val="28"/>
          <w:szCs w:val="28"/>
          <w:highlight w:val="none"/>
        </w:rPr>
        <w:t>招标控制价清单</w:t>
      </w:r>
    </w:p>
    <w:p w14:paraId="1271F50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20.4</w:t>
      </w:r>
      <w:r>
        <w:rPr>
          <w:rFonts w:hint="eastAsia" w:ascii="宋体" w:hAnsi="宋体" w:cs="Times New Roman"/>
          <w:sz w:val="28"/>
          <w:szCs w:val="28"/>
          <w:highlight w:val="none"/>
        </w:rPr>
        <w:t>比选申请文件</w:t>
      </w:r>
      <w:r>
        <w:rPr>
          <w:rFonts w:ascii="宋体" w:hAnsi="宋体" w:cs="Times New Roman"/>
          <w:sz w:val="28"/>
          <w:szCs w:val="28"/>
          <w:highlight w:val="none"/>
        </w:rPr>
        <w:t>及其附件</w:t>
      </w:r>
    </w:p>
    <w:p w14:paraId="447B5EF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5</w:t>
      </w:r>
      <w:r>
        <w:rPr>
          <w:rFonts w:ascii="宋体" w:hAnsi="宋体" w:cs="Times New Roman"/>
          <w:sz w:val="28"/>
          <w:szCs w:val="28"/>
          <w:highlight w:val="none"/>
        </w:rPr>
        <w:t>图纸</w:t>
      </w:r>
    </w:p>
    <w:p w14:paraId="127F63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标准规范及有关技术文件</w:t>
      </w:r>
    </w:p>
    <w:p w14:paraId="01AF426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7</w:t>
      </w:r>
      <w:r>
        <w:rPr>
          <w:rFonts w:ascii="宋体" w:hAnsi="宋体" w:cs="Times New Roman"/>
          <w:sz w:val="28"/>
          <w:szCs w:val="28"/>
          <w:highlight w:val="none"/>
        </w:rPr>
        <w:t>甲乙双方有关工程的洽商、变更等书面协议或文件</w:t>
      </w:r>
    </w:p>
    <w:p w14:paraId="7C8C63C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8</w:t>
      </w:r>
      <w:r>
        <w:rPr>
          <w:rFonts w:ascii="宋体" w:hAnsi="宋体" w:cs="Times New Roman"/>
          <w:sz w:val="28"/>
          <w:szCs w:val="28"/>
          <w:highlight w:val="none"/>
        </w:rPr>
        <w:t>其他现场签认单</w:t>
      </w:r>
    </w:p>
    <w:p w14:paraId="09094AE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w:t>
      </w:r>
      <w:r>
        <w:rPr>
          <w:rFonts w:hint="eastAsia" w:ascii="宋体" w:hAnsi="宋体" w:cs="Times New Roman"/>
          <w:sz w:val="28"/>
          <w:szCs w:val="28"/>
          <w:highlight w:val="none"/>
        </w:rPr>
        <w:t>6</w:t>
      </w:r>
      <w:r>
        <w:rPr>
          <w:rFonts w:ascii="宋体" w:hAnsi="宋体" w:cs="Times New Roman"/>
          <w:sz w:val="28"/>
          <w:szCs w:val="28"/>
          <w:highlight w:val="none"/>
        </w:rPr>
        <w:t>.1 图纸与技术标准和要求之间有矛盾或者不一致的，以其中要求较严格的标准为准。</w:t>
      </w:r>
    </w:p>
    <w:p w14:paraId="4E62945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20.7.</w:t>
      </w:r>
      <w:r>
        <w:rPr>
          <w:rFonts w:hint="eastAsia" w:ascii="宋体" w:hAnsi="宋体" w:cs="Times New Roman"/>
          <w:sz w:val="28"/>
          <w:szCs w:val="28"/>
          <w:highlight w:val="none"/>
        </w:rPr>
        <w:t>1</w:t>
      </w:r>
      <w:r>
        <w:rPr>
          <w:rFonts w:ascii="宋体" w:hAnsi="宋体" w:cs="Times New Roman"/>
          <w:sz w:val="28"/>
          <w:szCs w:val="28"/>
          <w:highlight w:val="none"/>
        </w:rPr>
        <w:t xml:space="preserve"> 合同双方在合同履行过程中签订的补充协议亦构成合同文件的组成部分，其解释顺序视其内容与其他合同文件的相互关系而定。</w:t>
      </w:r>
    </w:p>
    <w:p w14:paraId="38F6187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21．本合同的生效、变更、解除和终止</w:t>
      </w:r>
    </w:p>
    <w:p w14:paraId="7973FF5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21.1本合同经甲乙双方法定代表人或委托代理人签字并加盖合同专用章后生效。</w:t>
      </w:r>
    </w:p>
    <w:p w14:paraId="250A7B3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21.2本合同经甲乙双方协商一致，可以变更，合同变更协议应采用书面形式。</w:t>
      </w:r>
    </w:p>
    <w:p w14:paraId="715923A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21.3合同解除</w:t>
      </w:r>
    </w:p>
    <w:p w14:paraId="510C818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21.3.1合同解除的因素：</w:t>
      </w:r>
    </w:p>
    <w:p w14:paraId="62E0A6D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21.3.1.1甲乙双方协商一致；</w:t>
      </w:r>
    </w:p>
    <w:p w14:paraId="3CCF0CCD">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21.3.1.2因不可抗力致使合同无法履行；</w:t>
      </w:r>
    </w:p>
    <w:p w14:paraId="040FDE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21.3.1.3 乙方违反本合同约定，甲方有权解除合同；  </w:t>
      </w:r>
    </w:p>
    <w:p w14:paraId="39593608">
      <w:pPr>
        <w:spacing w:line="600" w:lineRule="exact"/>
        <w:ind w:firstLine="560" w:firstLineChars="200"/>
        <w:rPr>
          <w:rFonts w:ascii="宋体" w:hAnsi="宋体" w:cs="Times New Roman"/>
          <w:sz w:val="28"/>
          <w:szCs w:val="28"/>
          <w:highlight w:val="none"/>
        </w:rPr>
      </w:pPr>
      <w:r>
        <w:rPr>
          <w:rFonts w:hint="eastAsia" w:ascii="宋体" w:hAnsi="宋体" w:cs="Times New Roman"/>
          <w:sz w:val="28"/>
          <w:szCs w:val="28"/>
          <w:highlight w:val="none"/>
          <w:lang w:val="en-US" w:eastAsia="zh-CN"/>
        </w:rPr>
        <w:t>21.3.1.4法律法规规定或本合同约定的其他情形。</w:t>
      </w:r>
      <w:r>
        <w:rPr>
          <w:rFonts w:ascii="宋体" w:hAnsi="宋体" w:cs="Times New Roman"/>
          <w:sz w:val="28"/>
          <w:szCs w:val="28"/>
          <w:highlight w:val="none"/>
        </w:rPr>
        <w:t xml:space="preserve">                                           </w:t>
      </w:r>
    </w:p>
    <w:p w14:paraId="0688473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21.3.2合同解除的处理</w:t>
      </w:r>
    </w:p>
    <w:p w14:paraId="35C6B24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21.3.2.1一方要求解除合同的，应在7日前以书面形式向对方发出解除通知，通知到达对方时合同解除。对解除合同有争议的，按19条约定处理。</w:t>
      </w:r>
    </w:p>
    <w:p w14:paraId="3AE83C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21.3.2.2合同解除后的善后工作，双方另行约定</w:t>
      </w:r>
      <w:r>
        <w:rPr>
          <w:rFonts w:hint="eastAsia" w:ascii="宋体" w:hAnsi="宋体" w:cs="Times New Roman"/>
          <w:sz w:val="28"/>
          <w:szCs w:val="28"/>
          <w:highlight w:val="none"/>
        </w:rPr>
        <w:t>。</w:t>
      </w:r>
    </w:p>
    <w:p w14:paraId="1E80C8F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21.4合同终止</w:t>
      </w:r>
    </w:p>
    <w:p w14:paraId="6FC8C54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21.4.1合同终止的因素：</w:t>
      </w:r>
    </w:p>
    <w:p w14:paraId="202CC20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21.4.1.1甲乙双方履行全部合同义务；</w:t>
      </w:r>
    </w:p>
    <w:p w14:paraId="2704EF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21.4.1.2合同解除；</w:t>
      </w:r>
    </w:p>
    <w:p w14:paraId="0FA0025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21.4.1.3其他；                                                        </w:t>
      </w:r>
    </w:p>
    <w:p w14:paraId="6C5038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 其它约定</w:t>
      </w:r>
    </w:p>
    <w:p w14:paraId="716639C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 不可抗力</w:t>
      </w:r>
    </w:p>
    <w:p w14:paraId="1BC750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22.1.1不可抗力包括因战争、动乱、空中飞行物体坠落或其他非甲方乙方责任造成的爆炸、火灾。</w:t>
      </w:r>
    </w:p>
    <w:p w14:paraId="7DDD861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22.1.2不可抗力事件发生后，乙方应立即通知甲方工程师，并在力所能及的条件下迅速采取措施，尽力减少损失，甲方应协助乙方采取措施。工程师认为应当暂停施工的，乙方应暂停施工。不可抗力事件结束后48小时内乙方向甲方书面通报受害情况和损失情况，及预计清理和修复的费用。不可抗力事件持续发生，乙方应每隔7天向甲方报告一次受害情况。不可抗力事件结束后7天内，乙方向甲方提交清理和修复费用的正式</w:t>
      </w:r>
      <w:r>
        <w:rPr>
          <w:rFonts w:hint="eastAsia" w:ascii="宋体" w:hAnsi="宋体" w:cs="Times New Roman"/>
          <w:sz w:val="28"/>
          <w:szCs w:val="28"/>
          <w:highlight w:val="none"/>
        </w:rPr>
        <w:t>申请</w:t>
      </w:r>
      <w:r>
        <w:rPr>
          <w:rFonts w:ascii="宋体" w:hAnsi="宋体" w:cs="Times New Roman"/>
          <w:sz w:val="28"/>
          <w:szCs w:val="28"/>
          <w:highlight w:val="none"/>
        </w:rPr>
        <w:t>及有关</w:t>
      </w:r>
      <w:r>
        <w:rPr>
          <w:rFonts w:hint="eastAsia" w:ascii="宋体" w:hAnsi="宋体" w:cs="Times New Roman"/>
          <w:sz w:val="28"/>
          <w:szCs w:val="28"/>
          <w:highlight w:val="none"/>
        </w:rPr>
        <w:t>佐证</w:t>
      </w:r>
      <w:r>
        <w:rPr>
          <w:rFonts w:ascii="宋体" w:hAnsi="宋体" w:cs="Times New Roman"/>
          <w:sz w:val="28"/>
          <w:szCs w:val="28"/>
          <w:highlight w:val="none"/>
        </w:rPr>
        <w:t>资料。</w:t>
      </w:r>
    </w:p>
    <w:p w14:paraId="1610FD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22.1.3因不可抗力事件导致的费用及延误的工期由双方按以下方法分别承担：</w:t>
      </w:r>
    </w:p>
    <w:p w14:paraId="2859991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（l） 工程本身的损害、因工程损害导致第三</w:t>
      </w:r>
      <w:r>
        <w:rPr>
          <w:rFonts w:hint="eastAsia" w:ascii="宋体" w:hAnsi="宋体" w:cs="Times New Roman"/>
          <w:sz w:val="28"/>
          <w:szCs w:val="28"/>
          <w:highlight w:val="none"/>
          <w:lang w:val="en-US" w:eastAsia="zh-CN"/>
        </w:rPr>
        <w:t>方</w:t>
      </w:r>
      <w:r>
        <w:rPr>
          <w:rFonts w:ascii="宋体" w:hAnsi="宋体" w:cs="Times New Roman"/>
          <w:sz w:val="28"/>
          <w:szCs w:val="28"/>
          <w:highlight w:val="none"/>
        </w:rPr>
        <w:t>人员伤亡和财产损失以及运至施工场地用于施工的材料和待安装的设备的损害，由乙方承担；</w:t>
      </w:r>
    </w:p>
    <w:p w14:paraId="7931193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甲方、乙方人员伤亡由其所在单位负责，并承担相应费用；</w:t>
      </w:r>
    </w:p>
    <w:p w14:paraId="6B72A6A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乙方机械设备损坏及停工损失，由乙方承担；</w:t>
      </w:r>
    </w:p>
    <w:p w14:paraId="67803AB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（4） 停工期间，乙方应甲方要求留在施工场地的必要的管理人员及保卫人员的费用由甲方承担；</w:t>
      </w:r>
    </w:p>
    <w:p w14:paraId="469FBA2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（5） 工程所需清理、修复费用，由乙方承担；</w:t>
      </w:r>
    </w:p>
    <w:p w14:paraId="4552A1D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（6） 延误的工期相应顺延。</w:t>
      </w:r>
    </w:p>
    <w:p w14:paraId="6E4D4EA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22.1.4 因合同一方迟延履行合同后发生不可抗力的，不能免除迟延履行方的相应责任。</w:t>
      </w:r>
    </w:p>
    <w:p w14:paraId="3C13461A">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22.1.5 进度完成奖励</w:t>
      </w:r>
    </w:p>
    <w:p w14:paraId="6B90AA38">
      <w:pPr>
        <w:spacing w:line="600" w:lineRule="exact"/>
        <w:ind w:firstLine="560" w:firstLineChars="200"/>
        <w:rPr>
          <w:rFonts w:hint="eastAsia" w:ascii="宋体" w:hAnsi="宋体" w:cs="Times New Roman"/>
          <w:sz w:val="28"/>
          <w:szCs w:val="28"/>
          <w:highlight w:val="none"/>
        </w:rPr>
      </w:pPr>
      <w:r>
        <w:rPr>
          <w:rFonts w:hint="eastAsia" w:ascii="宋体" w:hAnsi="宋体" w:cs="Times New Roman"/>
          <w:sz w:val="28"/>
          <w:szCs w:val="28"/>
          <w:highlight w:val="none"/>
        </w:rPr>
        <w:t>按照合同约定的时间节点，乙方在施工过程中应严格遵守质量标准、安全规范，确保充电站项目的顺利进行，在规定工期内提前完成充电站项目建设，将获得进度奖励。奖励金额根据施工进度完成情况，进度提前10天内（包含10天），甲方将按每提前一天向乙方奖励2000元；进度提前超过10天</w:t>
      </w:r>
      <w:r>
        <w:rPr>
          <w:rFonts w:hint="eastAsia" w:ascii="宋体" w:hAnsi="宋体" w:cs="Times New Roman"/>
          <w:sz w:val="28"/>
          <w:szCs w:val="28"/>
          <w:highlight w:val="none"/>
          <w:lang w:val="en-US" w:eastAsia="zh-CN"/>
        </w:rPr>
        <w:t>的</w:t>
      </w:r>
      <w:r>
        <w:rPr>
          <w:rFonts w:hint="eastAsia" w:ascii="宋体" w:hAnsi="宋体" w:cs="Times New Roman"/>
          <w:sz w:val="28"/>
          <w:szCs w:val="28"/>
          <w:highlight w:val="none"/>
        </w:rPr>
        <w:t>，</w:t>
      </w:r>
      <w:r>
        <w:rPr>
          <w:rFonts w:hint="eastAsia" w:ascii="宋体" w:hAnsi="宋体" w:cs="Times New Roman"/>
          <w:sz w:val="28"/>
          <w:szCs w:val="28"/>
          <w:highlight w:val="none"/>
          <w:lang w:val="en-US" w:eastAsia="zh-CN"/>
        </w:rPr>
        <w:t>超过部分</w:t>
      </w:r>
      <w:r>
        <w:rPr>
          <w:rFonts w:hint="eastAsia" w:ascii="宋体" w:hAnsi="宋体" w:cs="Times New Roman"/>
          <w:sz w:val="28"/>
          <w:szCs w:val="28"/>
          <w:highlight w:val="none"/>
        </w:rPr>
        <w:t>甲方将按每提前一天向乙方奖励4000元，奖励条例最终解释权归甲方主管部门和监督部门所有。</w:t>
      </w:r>
    </w:p>
    <w:p w14:paraId="08272B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 工程保险</w:t>
      </w:r>
    </w:p>
    <w:p w14:paraId="7C8B5CE5">
      <w:pPr>
        <w:spacing w:line="600" w:lineRule="exact"/>
        <w:ind w:left="559" w:leftChars="266"/>
        <w:rPr>
          <w:rFonts w:ascii="宋体" w:hAnsi="宋体" w:cs="Times New Roman"/>
          <w:sz w:val="28"/>
          <w:szCs w:val="28"/>
          <w:highlight w:val="none"/>
        </w:rPr>
      </w:pPr>
      <w:r>
        <w:rPr>
          <w:rFonts w:ascii="宋体" w:hAnsi="宋体" w:cs="Times New Roman"/>
          <w:sz w:val="28"/>
          <w:szCs w:val="28"/>
          <w:highlight w:val="none"/>
        </w:rPr>
        <w:t>22.2.1</w:t>
      </w:r>
      <w:r>
        <w:rPr>
          <w:rFonts w:hint="eastAsia" w:ascii="宋体" w:hAnsi="宋体" w:cs="Times New Roman"/>
          <w:sz w:val="28"/>
          <w:szCs w:val="28"/>
          <w:highlight w:val="none"/>
        </w:rPr>
        <w:t xml:space="preserve">  乙方应按本合同约定购买保险，并承担项目保险费用。</w:t>
      </w:r>
      <w:r>
        <w:rPr>
          <w:rFonts w:ascii="宋体" w:hAnsi="宋体" w:cs="Times New Roman"/>
          <w:sz w:val="28"/>
          <w:szCs w:val="28"/>
          <w:highlight w:val="none"/>
        </w:rPr>
        <w:t>22.2.2  保险凭证和条件</w:t>
      </w:r>
    </w:p>
    <w:p w14:paraId="7BC02B3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乙方应在接到开工通知后的14天内向甲方提交按合同规定的各项保险单的副本，并通知甲方。保险单的条件应符合本合同的规定。</w:t>
      </w:r>
    </w:p>
    <w:p w14:paraId="38CEFA5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22.2.3 </w:t>
      </w:r>
      <w:r>
        <w:rPr>
          <w:rFonts w:hint="eastAsia" w:ascii="宋体" w:hAnsi="宋体" w:cs="Times New Roman"/>
          <w:sz w:val="28"/>
          <w:szCs w:val="28"/>
          <w:highlight w:val="none"/>
        </w:rPr>
        <w:t xml:space="preserve"> </w:t>
      </w:r>
      <w:r>
        <w:rPr>
          <w:rFonts w:ascii="宋体" w:hAnsi="宋体" w:cs="Times New Roman"/>
          <w:sz w:val="28"/>
          <w:szCs w:val="28"/>
          <w:highlight w:val="none"/>
        </w:rPr>
        <w:t>保险单条件的变动</w:t>
      </w:r>
    </w:p>
    <w:p w14:paraId="15BC9B7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乙方需要变动保险单的条件时，应事先征得甲方书面同意。</w:t>
      </w:r>
    </w:p>
    <w:p w14:paraId="198EE1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22.2.</w:t>
      </w:r>
      <w:r>
        <w:rPr>
          <w:rFonts w:hint="eastAsia" w:ascii="宋体" w:hAnsi="宋体" w:cs="Times New Roman"/>
          <w:sz w:val="28"/>
          <w:szCs w:val="28"/>
          <w:highlight w:val="none"/>
        </w:rPr>
        <w:t>4</w:t>
      </w:r>
      <w:r>
        <w:rPr>
          <w:rFonts w:ascii="宋体" w:hAnsi="宋体" w:cs="Times New Roman"/>
          <w:sz w:val="28"/>
          <w:szCs w:val="28"/>
          <w:highlight w:val="none"/>
        </w:rPr>
        <w:t xml:space="preserve">  遵守保险单规定的条件</w:t>
      </w:r>
    </w:p>
    <w:p w14:paraId="0CDF4FE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甲方和乙方均应遵守保险单规定的条件，任何一方违反保险单规定的条件时，应赔偿另一方由此</w:t>
      </w:r>
      <w:r>
        <w:rPr>
          <w:rFonts w:hint="eastAsia" w:ascii="宋体" w:hAnsi="宋体" w:cs="Times New Roman"/>
          <w:sz w:val="28"/>
          <w:szCs w:val="28"/>
          <w:highlight w:val="none"/>
        </w:rPr>
        <w:t>产生</w:t>
      </w:r>
      <w:r>
        <w:rPr>
          <w:rFonts w:ascii="宋体" w:hAnsi="宋体" w:cs="Times New Roman"/>
          <w:sz w:val="28"/>
          <w:szCs w:val="28"/>
          <w:highlight w:val="none"/>
        </w:rPr>
        <w:t>的损失。</w:t>
      </w:r>
    </w:p>
    <w:p w14:paraId="1892645A">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 工程风险</w:t>
      </w:r>
    </w:p>
    <w:p w14:paraId="4D527AD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22.3.1 甲方的风险</w:t>
      </w:r>
    </w:p>
    <w:p w14:paraId="45E214B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工程（包括材料和工程设备）发生以下各种风险造成的损失和损坏，均应由甲方承担风险责任。</w:t>
      </w:r>
    </w:p>
    <w:p w14:paraId="15B6F55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甲方负责的工程设计不当造成的损失和损坏。</w:t>
      </w:r>
    </w:p>
    <w:p w14:paraId="57A061D5">
      <w:pPr>
        <w:spacing w:line="600" w:lineRule="exact"/>
        <w:ind w:firstLine="560" w:firstLineChars="200"/>
        <w:rPr>
          <w:rFonts w:hint="eastAsia" w:ascii="宋体" w:hAnsi="宋体" w:cs="Times New Roman"/>
          <w:sz w:val="28"/>
          <w:szCs w:val="28"/>
          <w:highlight w:val="none"/>
        </w:rPr>
      </w:pPr>
      <w:r>
        <w:rPr>
          <w:rFonts w:ascii="宋体" w:hAnsi="宋体" w:cs="Times New Roman"/>
          <w:sz w:val="28"/>
          <w:szCs w:val="28"/>
          <w:highlight w:val="none"/>
        </w:rPr>
        <w:t>(2) 由于甲方责任造成工程设备的损失和损坏。</w:t>
      </w:r>
    </w:p>
    <w:p w14:paraId="6C6AC6D0">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22.3.2 乙方的风险</w:t>
      </w:r>
    </w:p>
    <w:p w14:paraId="742D1246">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工程（包括材料和工程设备）发生以下各种风险造成的损失和损坏，均应由乙方承担风险责任。</w:t>
      </w:r>
    </w:p>
    <w:p w14:paraId="2398A62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(1)  由于乙方对工程（包括材料和工程设备）照管不周造成的损失和损坏。</w:t>
      </w:r>
    </w:p>
    <w:p w14:paraId="13FE8AF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  由于乙方的施工组织措施失误造成的损失和损坏。</w:t>
      </w:r>
    </w:p>
    <w:p w14:paraId="2E4218F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(3)  其他由于乙方原因造成的损失和损坏。</w:t>
      </w:r>
    </w:p>
    <w:p w14:paraId="4135BEFE">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22.3.</w:t>
      </w:r>
      <w:r>
        <w:rPr>
          <w:rFonts w:hint="eastAsia" w:ascii="宋体" w:hAnsi="宋体" w:cs="Times New Roman"/>
          <w:sz w:val="28"/>
          <w:szCs w:val="28"/>
          <w:highlight w:val="none"/>
          <w:lang w:val="en-US" w:eastAsia="zh-CN"/>
        </w:rPr>
        <w:t>3</w:t>
      </w:r>
      <w:r>
        <w:rPr>
          <w:rFonts w:ascii="宋体" w:hAnsi="宋体" w:cs="Times New Roman"/>
          <w:sz w:val="28"/>
          <w:szCs w:val="28"/>
          <w:highlight w:val="none"/>
        </w:rPr>
        <w:t xml:space="preserve"> 不可抗力解除合同</w:t>
      </w:r>
    </w:p>
    <w:p w14:paraId="1D1AB63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合同签订后发生第 22.1款的风险造成工程的巨大损失和严重损坏，使双方或任何一方无法继续履行合同时，经双方协商后可解除合同、解除合同后的付款由双方协商处理。</w:t>
      </w:r>
    </w:p>
    <w:p w14:paraId="3C84F24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22.4纳税</w:t>
      </w:r>
    </w:p>
    <w:p w14:paraId="4231D68F">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乙方应按有关</w:t>
      </w:r>
      <w:r>
        <w:rPr>
          <w:rFonts w:hint="eastAsia" w:ascii="宋体" w:hAnsi="宋体" w:cs="Times New Roman"/>
          <w:sz w:val="28"/>
          <w:szCs w:val="28"/>
          <w:highlight w:val="none"/>
        </w:rPr>
        <w:t>法律法规</w:t>
      </w:r>
      <w:r>
        <w:rPr>
          <w:rFonts w:ascii="宋体" w:hAnsi="宋体" w:cs="Times New Roman"/>
          <w:sz w:val="28"/>
          <w:szCs w:val="28"/>
          <w:highlight w:val="none"/>
        </w:rPr>
        <w:t>的规定纳税。除合同另有规定外，乙方应纳的税金包括在合同价格中。</w:t>
      </w:r>
    </w:p>
    <w:p w14:paraId="352BF9A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22.5 严禁贿赂    </w:t>
      </w:r>
    </w:p>
    <w:p w14:paraId="09D32885">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严禁对本合同有关的单位和人员进行贿赂和使用不正当竞争手段谋取非法利益。若发现任何上述行为，甲方和乙方均应进行追查和处理，构成犯罪的提交司法部门处理。</w:t>
      </w:r>
    </w:p>
    <w:p w14:paraId="7F5BD0D3">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22.6 化石和文物</w:t>
      </w:r>
    </w:p>
    <w:p w14:paraId="24A992D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在施工场地发掘的所有化石、钱币、有价值的物品或文物、古建筑结构以及有地质或考古价值的其他遗物等均为国家财产。乙方应按国家文物管理的有关规定采取合理的保护措施，防止任何人员移动或损坏上述物品。一旦发现上述物品，应立即把发现的情况通知甲方，并按甲方的指示做好保护工作。由于采取保护措施而增加的费用和工期延误，应按第5.2.1.1款的规定办理。</w:t>
      </w:r>
    </w:p>
    <w:p w14:paraId="4C7F4814">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22.7 转让</w:t>
      </w:r>
    </w:p>
    <w:p w14:paraId="3287239C">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乙方不得将其承包的全部或部分工程转包给第三人。未经甲方同意，乙方不得转移合同中的全部或部分义务，也不得转让合同中的全部或部分权利，下述情况除外：</w:t>
      </w:r>
    </w:p>
    <w:p w14:paraId="35A63A27">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 xml:space="preserve"> (1) 在保险人已清偿了乙方的损失或免除了乙方的责任的情况下，乙方将其从任何其他责任方处获得补偿的权利转让给乙方的保险人。</w:t>
      </w:r>
    </w:p>
    <w:p w14:paraId="43BDAD6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22.8本合同</w:t>
      </w:r>
      <w:r>
        <w:rPr>
          <w:rFonts w:hint="default" w:ascii="宋体" w:hAnsi="宋体" w:eastAsia="宋体" w:cs="Times New Roman"/>
          <w:kern w:val="2"/>
          <w:sz w:val="28"/>
          <w:szCs w:val="28"/>
          <w:highlight w:val="none"/>
          <w:lang w:val="en-US" w:eastAsia="zh-CN" w:bidi="ar-SA"/>
        </w:rPr>
        <w:t>一式</w:t>
      </w:r>
      <w:r>
        <w:rPr>
          <w:rFonts w:hint="eastAsia" w:ascii="宋体" w:hAnsi="宋体" w:cs="Times New Roman"/>
          <w:kern w:val="2"/>
          <w:sz w:val="28"/>
          <w:szCs w:val="28"/>
          <w:highlight w:val="none"/>
          <w:lang w:val="en-US" w:eastAsia="zh-CN" w:bidi="ar-SA"/>
        </w:rPr>
        <w:t>捌</w:t>
      </w:r>
      <w:r>
        <w:rPr>
          <w:rFonts w:hint="default" w:ascii="宋体" w:hAnsi="宋体" w:eastAsia="宋体" w:cs="Times New Roman"/>
          <w:kern w:val="2"/>
          <w:sz w:val="28"/>
          <w:szCs w:val="28"/>
          <w:highlight w:val="none"/>
          <w:lang w:val="en-US" w:eastAsia="zh-CN" w:bidi="ar-SA"/>
        </w:rPr>
        <w:t>份，由甲方执肆份，乙方执肆份</w:t>
      </w:r>
      <w:r>
        <w:rPr>
          <w:rFonts w:ascii="宋体" w:hAnsi="宋体" w:cs="Times New Roman"/>
          <w:sz w:val="28"/>
          <w:szCs w:val="28"/>
          <w:highlight w:val="none"/>
        </w:rPr>
        <w:t>，具有同等法律效力。</w:t>
      </w:r>
    </w:p>
    <w:p w14:paraId="7196F069">
      <w:pPr>
        <w:spacing w:line="600" w:lineRule="exact"/>
        <w:ind w:firstLine="560" w:firstLineChars="200"/>
        <w:rPr>
          <w:highlight w:val="none"/>
        </w:rPr>
      </w:pPr>
      <w:r>
        <w:rPr>
          <w:rFonts w:ascii="宋体" w:hAnsi="宋体" w:cs="Times New Roman"/>
          <w:sz w:val="28"/>
          <w:szCs w:val="28"/>
          <w:highlight w:val="none"/>
        </w:rPr>
        <w:t>22.9</w:t>
      </w:r>
      <w:r>
        <w:rPr>
          <w:rFonts w:hint="eastAsia" w:ascii="宋体" w:hAnsi="宋体" w:cs="Times New Roman"/>
          <w:sz w:val="28"/>
          <w:szCs w:val="28"/>
          <w:highlight w:val="none"/>
        </w:rPr>
        <w:t>未尽事宜</w:t>
      </w:r>
      <w:r>
        <w:rPr>
          <w:rFonts w:ascii="宋体" w:hAnsi="宋体" w:cs="Times New Roman"/>
          <w:sz w:val="28"/>
          <w:szCs w:val="28"/>
          <w:highlight w:val="none"/>
        </w:rPr>
        <w:t>双方协商以书面形式签订补充协议</w:t>
      </w:r>
      <w:r>
        <w:rPr>
          <w:rFonts w:hint="eastAsia" w:ascii="宋体" w:hAnsi="宋体" w:cs="Times New Roman"/>
          <w:sz w:val="28"/>
          <w:szCs w:val="28"/>
          <w:highlight w:val="none"/>
        </w:rPr>
        <w:t>，补充协议与本合同具有同等法律效力。</w:t>
      </w:r>
    </w:p>
    <w:p w14:paraId="2771B5B9">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w:t>
      </w:r>
    </w:p>
    <w:p w14:paraId="47302E3B">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附件1工程质量保修协议书</w:t>
      </w:r>
    </w:p>
    <w:p w14:paraId="191791A8">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附件2工程安全文明环保施工合同</w:t>
      </w:r>
    </w:p>
    <w:p w14:paraId="57F1D572">
      <w:pPr>
        <w:spacing w:line="600" w:lineRule="exact"/>
        <w:ind w:firstLine="560" w:firstLineChars="200"/>
        <w:rPr>
          <w:rFonts w:ascii="宋体" w:hAnsi="宋体" w:cs="Times New Roman"/>
          <w:sz w:val="28"/>
          <w:szCs w:val="28"/>
          <w:highlight w:val="none"/>
        </w:rPr>
      </w:pPr>
      <w:r>
        <w:rPr>
          <w:rFonts w:ascii="宋体" w:hAnsi="宋体" w:cs="Times New Roman"/>
          <w:sz w:val="28"/>
          <w:szCs w:val="28"/>
          <w:highlight w:val="none"/>
        </w:rPr>
        <w:t>附件3 廉政合同</w:t>
      </w:r>
    </w:p>
    <w:p w14:paraId="06DC780A">
      <w:pPr>
        <w:spacing w:line="600" w:lineRule="exact"/>
        <w:ind w:firstLine="560" w:firstLineChars="200"/>
        <w:rPr>
          <w:rFonts w:hint="eastAsia"/>
          <w:highlight w:val="none"/>
        </w:rPr>
      </w:pPr>
      <w:r>
        <w:rPr>
          <w:rFonts w:ascii="宋体" w:hAnsi="宋体" w:cs="Times New Roman"/>
          <w:sz w:val="28"/>
          <w:szCs w:val="28"/>
          <w:highlight w:val="none"/>
        </w:rPr>
        <w:t>附件4 履约保证金格式（如采用银行保函）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707FE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075B603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733278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16BC8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69E20AE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A452EB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B8EA4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F057F9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905AA8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169407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C4F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5E16C583">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1F15C961">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4A2A7396">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p>
          <w:p w14:paraId="03062E9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5C9AE635">
      <w:pPr>
        <w:spacing w:line="600" w:lineRule="exact"/>
        <w:rPr>
          <w:rFonts w:ascii="宋体" w:hAnsi="宋体" w:cs="Times New Roman"/>
          <w:sz w:val="28"/>
          <w:szCs w:val="28"/>
          <w:highlight w:val="none"/>
        </w:rPr>
      </w:pPr>
    </w:p>
    <w:p w14:paraId="410954EC">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267160BC">
      <w:pPr>
        <w:topLinePunct w:val="0"/>
        <w:autoSpaceDE/>
        <w:snapToGrid/>
        <w:spacing w:line="600" w:lineRule="exact"/>
        <w:jc w:val="left"/>
        <w:rPr>
          <w:rStyle w:val="26"/>
          <w:rFonts w:hint="eastAsia" w:ascii="宋体" w:hAnsi="宋体" w:cs="宋体"/>
          <w:b/>
          <w:color w:val="auto"/>
          <w:szCs w:val="28"/>
          <w:highlight w:val="none"/>
          <w:lang w:val="en-US" w:eastAsia="zh-CN"/>
        </w:rPr>
      </w:pPr>
      <w:r>
        <w:rPr>
          <w:rFonts w:hint="eastAsia" w:ascii="宋体" w:hAnsi="宋体" w:eastAsia="宋体" w:cs="宋体"/>
          <w:b/>
          <w:bCs/>
          <w:color w:val="auto"/>
          <w:sz w:val="28"/>
          <w:szCs w:val="28"/>
          <w:highlight w:val="none"/>
        </w:rPr>
        <w:t>附件1</w:t>
      </w:r>
    </w:p>
    <w:p w14:paraId="080A6B16">
      <w:pPr>
        <w:topLinePunct/>
        <w:autoSpaceDE w:val="0"/>
        <w:snapToGrid w:val="0"/>
        <w:spacing w:line="600" w:lineRule="exact"/>
        <w:jc w:val="center"/>
        <w:rPr>
          <w:rStyle w:val="26"/>
          <w:rFonts w:hint="eastAsia" w:ascii="宋体" w:hAnsi="宋体" w:eastAsia="仿宋_GB2312" w:cs="宋体"/>
          <w:b/>
          <w:color w:val="auto"/>
          <w:szCs w:val="28"/>
          <w:highlight w:val="none"/>
        </w:rPr>
      </w:pPr>
      <w:r>
        <w:rPr>
          <w:rStyle w:val="26"/>
          <w:rFonts w:hint="eastAsia" w:ascii="宋体" w:hAnsi="宋体" w:eastAsia="仿宋_GB2312" w:cs="宋体"/>
          <w:b/>
          <w:color w:val="auto"/>
          <w:szCs w:val="28"/>
          <w:highlight w:val="none"/>
          <w:lang w:val="en-US" w:eastAsia="zh-CN"/>
        </w:rPr>
        <w:t>工程</w:t>
      </w:r>
      <w:r>
        <w:rPr>
          <w:rStyle w:val="26"/>
          <w:rFonts w:hint="eastAsia" w:ascii="宋体" w:hAnsi="宋体" w:eastAsia="仿宋_GB2312" w:cs="宋体"/>
          <w:b/>
          <w:color w:val="auto"/>
          <w:szCs w:val="28"/>
          <w:highlight w:val="none"/>
        </w:rPr>
        <w:t>质量保修协议书</w:t>
      </w:r>
    </w:p>
    <w:p w14:paraId="4E0294E5">
      <w:pPr>
        <w:topLinePunct/>
        <w:autoSpaceDE w:val="0"/>
        <w:snapToGrid w:val="0"/>
        <w:spacing w:line="600" w:lineRule="exact"/>
        <w:rPr>
          <w:rStyle w:val="26"/>
          <w:rFonts w:hint="eastAsia" w:eastAsia="宋体" w:cs="宋体"/>
          <w:color w:val="auto"/>
          <w:szCs w:val="28"/>
          <w:highlight w:val="none"/>
        </w:rPr>
      </w:pPr>
      <w:r>
        <w:rPr>
          <w:rStyle w:val="26"/>
          <w:rFonts w:hint="eastAsia" w:eastAsia="宋体" w:cs="宋体"/>
          <w:color w:val="auto"/>
          <w:szCs w:val="28"/>
          <w:highlight w:val="none"/>
        </w:rPr>
        <w:t>甲方（全称）：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四川蜀道新能源科技发展有限公司</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p>
    <w:p w14:paraId="0A7E95A9">
      <w:pPr>
        <w:topLinePunct/>
        <w:autoSpaceDE w:val="0"/>
        <w:snapToGrid w:val="0"/>
        <w:spacing w:line="600" w:lineRule="exact"/>
        <w:rPr>
          <w:rStyle w:val="26"/>
          <w:rFonts w:eastAsia="宋体" w:cs="宋体"/>
          <w:color w:val="auto"/>
          <w:szCs w:val="28"/>
          <w:highlight w:val="none"/>
        </w:rPr>
      </w:pPr>
      <w:r>
        <w:rPr>
          <w:rStyle w:val="26"/>
          <w:rFonts w:hint="eastAsia" w:eastAsia="宋体" w:cs="宋体"/>
          <w:color w:val="auto"/>
          <w:szCs w:val="28"/>
          <w:highlight w:val="none"/>
        </w:rPr>
        <w:t>乙方（全称）：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 xml:space="preserve">                 </w:t>
      </w:r>
      <w:r>
        <w:rPr>
          <w:rFonts w:hint="eastAsia" w:ascii="宋体" w:hAnsi="宋体" w:cs="宋体"/>
          <w:color w:val="auto"/>
          <w:sz w:val="28"/>
          <w:szCs w:val="28"/>
          <w:highlight w:val="none"/>
          <w:u w:val="single"/>
        </w:rPr>
        <w:t xml:space="preserve">                           </w:t>
      </w:r>
    </w:p>
    <w:p w14:paraId="79FF7D37">
      <w:pPr>
        <w:pStyle w:val="9"/>
        <w:spacing w:line="600" w:lineRule="exact"/>
        <w:ind w:left="0" w:leftChars="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甲乙</w:t>
      </w:r>
      <w:r>
        <w:rPr>
          <w:rFonts w:hint="eastAsia" w:cs="宋体"/>
          <w:color w:val="auto"/>
          <w:sz w:val="28"/>
          <w:szCs w:val="28"/>
          <w:highlight w:val="none"/>
          <w:lang w:val="en-US" w:eastAsia="zh-CN"/>
        </w:rPr>
        <w:t>双</w:t>
      </w:r>
      <w:r>
        <w:rPr>
          <w:rFonts w:hint="eastAsia" w:ascii="宋体" w:hAnsi="宋体" w:eastAsia="宋体" w:cs="宋体"/>
          <w:color w:val="auto"/>
          <w:sz w:val="28"/>
          <w:szCs w:val="28"/>
          <w:highlight w:val="none"/>
        </w:rPr>
        <w:t>方根据《中华人民共和国建筑法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建设工程质量管理条例》和《房屋建筑工程质量保修办法》，经协商一致，就</w:t>
      </w:r>
      <w:r>
        <w:rPr>
          <w:rFonts w:hint="eastAsia" w:ascii="宋体" w:hAnsi="宋体" w:eastAsia="宋体" w:cs="宋体"/>
          <w:color w:val="auto"/>
          <w:sz w:val="28"/>
          <w:szCs w:val="28"/>
          <w:highlight w:val="none"/>
          <w:u w:val="single"/>
          <w:lang w:val="en-US" w:eastAsia="zh-CN"/>
        </w:rPr>
        <w:t>G0615线久治至马尔康段高速公路刷经寺服务区充电站项目</w:t>
      </w:r>
      <w:r>
        <w:rPr>
          <w:rFonts w:hint="eastAsia" w:ascii="宋体" w:hAnsi="宋体" w:eastAsia="宋体" w:cs="宋体"/>
          <w:color w:val="auto"/>
          <w:sz w:val="28"/>
          <w:szCs w:val="28"/>
          <w:highlight w:val="none"/>
        </w:rPr>
        <w:t>的质量保修事宜签订工程质量保修协议书。</w:t>
      </w:r>
    </w:p>
    <w:p w14:paraId="40F4BB2D">
      <w:pPr>
        <w:pStyle w:val="9"/>
        <w:spacing w:line="600" w:lineRule="exact"/>
        <w:ind w:left="0" w:leftChars="0" w:firstLine="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1.工程质量保修范围和内容</w:t>
      </w:r>
    </w:p>
    <w:p w14:paraId="115BB9FD">
      <w:pPr>
        <w:pStyle w:val="9"/>
        <w:spacing w:line="600" w:lineRule="exact"/>
        <w:ind w:left="0" w:leftChars="0" w:firstLine="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1.1 </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在质量保修范围内，按照有关</w:t>
      </w:r>
      <w:r>
        <w:rPr>
          <w:rFonts w:hint="eastAsia" w:ascii="宋体" w:hAnsi="宋体" w:cs="宋体"/>
          <w:color w:val="auto"/>
          <w:sz w:val="28"/>
          <w:szCs w:val="28"/>
          <w:highlight w:val="none"/>
          <w:lang w:eastAsia="zh-CN"/>
        </w:rPr>
        <w:t>法律法规</w:t>
      </w:r>
      <w:r>
        <w:rPr>
          <w:rFonts w:hint="eastAsia" w:ascii="宋体" w:hAnsi="宋体" w:eastAsia="宋体" w:cs="宋体"/>
          <w:color w:val="auto"/>
          <w:sz w:val="28"/>
          <w:szCs w:val="28"/>
          <w:highlight w:val="none"/>
        </w:rPr>
        <w:t>、规章的管理规定和</w:t>
      </w:r>
      <w:r>
        <w:rPr>
          <w:rFonts w:hint="eastAsia" w:ascii="宋体" w:hAnsi="宋体" w:eastAsia="宋体" w:cs="宋体"/>
          <w:color w:val="auto"/>
          <w:sz w:val="28"/>
          <w:szCs w:val="28"/>
          <w:highlight w:val="none"/>
          <w:lang w:val="en-US" w:eastAsia="zh-CN"/>
        </w:rPr>
        <w:t>双方</w:t>
      </w:r>
      <w:r>
        <w:rPr>
          <w:rFonts w:hint="eastAsia" w:ascii="宋体" w:hAnsi="宋体" w:eastAsia="宋体" w:cs="宋体"/>
          <w:color w:val="auto"/>
          <w:sz w:val="28"/>
          <w:szCs w:val="28"/>
          <w:highlight w:val="none"/>
        </w:rPr>
        <w:t>在主合同中的约定，承担本工程质量保修责任。</w:t>
      </w:r>
    </w:p>
    <w:p w14:paraId="0F567CE9">
      <w:pPr>
        <w:pStyle w:val="9"/>
        <w:spacing w:line="600" w:lineRule="exact"/>
        <w:ind w:left="0" w:leftChars="0" w:firstLine="0" w:firstLineChars="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1.2 质量保修范围</w:t>
      </w:r>
      <w:r>
        <w:rPr>
          <w:rFonts w:hint="eastAsia" w:ascii="宋体" w:hAnsi="宋体" w:eastAsia="宋体" w:cs="宋体"/>
          <w:color w:val="auto"/>
          <w:sz w:val="28"/>
          <w:szCs w:val="28"/>
          <w:highlight w:val="none"/>
          <w:lang w:val="en-US" w:eastAsia="zh-CN"/>
        </w:rPr>
        <w:t>包括但不限于</w:t>
      </w:r>
      <w:r>
        <w:rPr>
          <w:rFonts w:hint="eastAsia" w:ascii="宋体" w:hAnsi="宋体" w:eastAsia="宋体" w:cs="宋体"/>
          <w:color w:val="auto"/>
          <w:sz w:val="28"/>
          <w:szCs w:val="28"/>
          <w:highlight w:val="none"/>
        </w:rPr>
        <w:t>地基基础工程、主体结构工程，</w:t>
      </w:r>
      <w:r>
        <w:rPr>
          <w:rFonts w:hint="default" w:ascii="宋体" w:hAnsi="宋体" w:eastAsia="宋体" w:cs="宋体"/>
          <w:color w:val="auto"/>
          <w:sz w:val="28"/>
          <w:szCs w:val="28"/>
          <w:highlight w:val="none"/>
          <w:lang w:val="en-US" w:eastAsia="zh-CN"/>
        </w:rPr>
        <w:t>配变设备、供电线路</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电气管线、</w:t>
      </w:r>
      <w:r>
        <w:rPr>
          <w:rFonts w:hint="eastAsia" w:ascii="宋体" w:hAnsi="宋体" w:eastAsia="宋体" w:cs="宋体"/>
          <w:color w:val="auto"/>
          <w:sz w:val="28"/>
          <w:szCs w:val="28"/>
          <w:highlight w:val="none"/>
          <w:lang w:val="en-US" w:eastAsia="zh-CN"/>
        </w:rPr>
        <w:t>设施设备、</w:t>
      </w:r>
      <w:r>
        <w:rPr>
          <w:rFonts w:hint="default" w:ascii="宋体" w:hAnsi="宋体" w:eastAsia="宋体" w:cs="宋体"/>
          <w:color w:val="auto"/>
          <w:sz w:val="28"/>
          <w:szCs w:val="28"/>
          <w:highlight w:val="none"/>
          <w:lang w:val="en-US" w:eastAsia="zh-CN"/>
        </w:rPr>
        <w:t>防雷接地</w:t>
      </w:r>
      <w:r>
        <w:rPr>
          <w:rFonts w:hint="eastAsia" w:ascii="宋体" w:hAnsi="宋体" w:eastAsia="宋体" w:cs="宋体"/>
          <w:color w:val="auto"/>
          <w:sz w:val="28"/>
          <w:szCs w:val="28"/>
          <w:highlight w:val="none"/>
          <w:lang w:val="en-US" w:eastAsia="zh-CN"/>
        </w:rPr>
        <w:t>、地面工程、罩棚、监控、照明工程、停车线、停车挡、标识标牌、</w:t>
      </w:r>
      <w:r>
        <w:rPr>
          <w:rFonts w:hint="eastAsia" w:ascii="宋体" w:hAnsi="宋体" w:eastAsia="宋体" w:cs="宋体"/>
          <w:color w:val="auto"/>
          <w:sz w:val="28"/>
          <w:szCs w:val="28"/>
          <w:highlight w:val="none"/>
        </w:rPr>
        <w:t>给排水管道、设备安装和装修工程，以及</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约定的其他项目。具体保修的内容，</w:t>
      </w:r>
      <w:r>
        <w:rPr>
          <w:rFonts w:hint="eastAsia" w:ascii="宋体" w:hAnsi="宋体" w:eastAsia="宋体" w:cs="宋体"/>
          <w:color w:val="auto"/>
          <w:sz w:val="28"/>
          <w:szCs w:val="28"/>
          <w:highlight w:val="none"/>
          <w:lang w:eastAsia="zh-CN"/>
        </w:rPr>
        <w:t>双方</w:t>
      </w:r>
      <w:r>
        <w:rPr>
          <w:rFonts w:hint="eastAsia" w:ascii="宋体" w:hAnsi="宋体" w:eastAsia="宋体" w:cs="宋体"/>
          <w:color w:val="auto"/>
          <w:sz w:val="28"/>
          <w:szCs w:val="28"/>
          <w:highlight w:val="none"/>
        </w:rPr>
        <w:t>约定如下：</w:t>
      </w:r>
      <w:r>
        <w:rPr>
          <w:rFonts w:hint="eastAsia" w:ascii="宋体" w:hAnsi="宋体" w:eastAsia="宋体" w:cs="宋体"/>
          <w:color w:val="auto"/>
          <w:sz w:val="28"/>
          <w:szCs w:val="28"/>
          <w:highlight w:val="none"/>
          <w:u w:val="single"/>
          <w:lang w:eastAsia="zh-CN"/>
        </w:rPr>
        <w:t>由乙方实施的全部内容。</w:t>
      </w:r>
      <w:r>
        <w:rPr>
          <w:rFonts w:hint="eastAsia" w:ascii="宋体" w:hAnsi="宋体" w:eastAsia="宋体" w:cs="宋体"/>
          <w:color w:val="auto"/>
          <w:sz w:val="28"/>
          <w:szCs w:val="28"/>
          <w:highlight w:val="none"/>
          <w:u w:val="single"/>
        </w:rPr>
        <w:t xml:space="preserve">                                                        </w:t>
      </w:r>
    </w:p>
    <w:p w14:paraId="09FF6B9D">
      <w:pPr>
        <w:pStyle w:val="9"/>
        <w:spacing w:line="600" w:lineRule="exact"/>
        <w:ind w:left="0" w:leftChars="0" w:firstLine="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2.</w:t>
      </w:r>
      <w:r>
        <w:rPr>
          <w:rFonts w:hint="eastAsia" w:ascii="宋体" w:hAnsi="宋体" w:cs="宋体"/>
          <w:b/>
          <w:color w:val="auto"/>
          <w:sz w:val="28"/>
          <w:szCs w:val="28"/>
          <w:highlight w:val="none"/>
          <w:lang w:eastAsia="zh-CN"/>
        </w:rPr>
        <w:t>质量</w:t>
      </w:r>
      <w:r>
        <w:rPr>
          <w:rFonts w:hint="eastAsia" w:cs="宋体"/>
          <w:b/>
          <w:color w:val="auto"/>
          <w:sz w:val="28"/>
          <w:szCs w:val="28"/>
          <w:highlight w:val="none"/>
          <w:lang w:eastAsia="zh-CN"/>
        </w:rPr>
        <w:t>保修期</w:t>
      </w:r>
    </w:p>
    <w:p w14:paraId="407D9268">
      <w:pPr>
        <w:pStyle w:val="9"/>
        <w:spacing w:line="600" w:lineRule="exact"/>
        <w:ind w:left="0" w:leftChars="0" w:firstLine="0"/>
        <w:rPr>
          <w:rFonts w:hint="eastAsia" w:ascii="宋体" w:hAnsi="宋体" w:eastAsia="宋体" w:cs="宋体"/>
          <w:color w:val="auto"/>
          <w:sz w:val="28"/>
          <w:szCs w:val="28"/>
          <w:highlight w:val="none"/>
        </w:rPr>
      </w:pPr>
      <w:r>
        <w:rPr>
          <w:rFonts w:hint="eastAsia" w:cs="宋体"/>
          <w:color w:val="auto"/>
          <w:sz w:val="28"/>
          <w:szCs w:val="28"/>
          <w:highlight w:val="none"/>
          <w:lang w:eastAsia="zh-CN"/>
        </w:rPr>
        <w:t>双方</w:t>
      </w:r>
      <w:r>
        <w:rPr>
          <w:rFonts w:hint="eastAsia" w:ascii="宋体" w:hAnsi="宋体" w:eastAsia="宋体" w:cs="宋体"/>
          <w:color w:val="auto"/>
          <w:sz w:val="28"/>
          <w:szCs w:val="28"/>
          <w:highlight w:val="none"/>
        </w:rPr>
        <w:t>根据《建设工程质量管理条例》及有关规定，约定本工程</w:t>
      </w:r>
      <w:r>
        <w:rPr>
          <w:rFonts w:hint="eastAsia" w:ascii="宋体" w:hAnsi="宋体" w:cs="宋体"/>
          <w:color w:val="auto"/>
          <w:sz w:val="28"/>
          <w:szCs w:val="28"/>
          <w:highlight w:val="none"/>
          <w:lang w:eastAsia="zh-CN"/>
        </w:rPr>
        <w:t>的质量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如下：</w:t>
      </w:r>
    </w:p>
    <w:p w14:paraId="577B3E11">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2.1 地基基础工程和主体结构工程为设计文件规定的该工程合理使用年限；</w:t>
      </w:r>
    </w:p>
    <w:p w14:paraId="1BFBD8F0">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2.2 屋面防水工程、有防水要求的卫生间、房间和外墙防渗漏为</w:t>
      </w:r>
      <w:r>
        <w:rPr>
          <w:rFonts w:hint="eastAsia" w:ascii="宋体" w:hAnsi="宋体" w:eastAsia="宋体" w:cs="宋体"/>
          <w:color w:val="auto"/>
          <w:sz w:val="28"/>
          <w:szCs w:val="28"/>
          <w:highlight w:val="none"/>
          <w:u w:val="single"/>
        </w:rPr>
        <w:t xml:space="preserve"> 5 </w:t>
      </w:r>
      <w:r>
        <w:rPr>
          <w:rFonts w:hint="eastAsia" w:ascii="宋体" w:hAnsi="宋体" w:eastAsia="宋体" w:cs="宋体"/>
          <w:color w:val="auto"/>
          <w:sz w:val="28"/>
          <w:szCs w:val="28"/>
          <w:highlight w:val="none"/>
        </w:rPr>
        <w:t>年；</w:t>
      </w:r>
    </w:p>
    <w:p w14:paraId="706B2A3E">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2.3 装修工程为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62349F75">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2.4 电气管线、给排水管道、设备安装工程为</w:t>
      </w:r>
      <w:r>
        <w:rPr>
          <w:rFonts w:hint="eastAsia" w:ascii="宋体" w:hAnsi="宋体" w:eastAsia="宋体" w:cs="宋体"/>
          <w:color w:val="auto"/>
          <w:sz w:val="28"/>
          <w:szCs w:val="28"/>
          <w:highlight w:val="none"/>
          <w:u w:val="single"/>
        </w:rPr>
        <w:t xml:space="preserve"> 2 </w:t>
      </w:r>
      <w:r>
        <w:rPr>
          <w:rFonts w:hint="eastAsia" w:ascii="宋体" w:hAnsi="宋体" w:eastAsia="宋体" w:cs="宋体"/>
          <w:color w:val="auto"/>
          <w:sz w:val="28"/>
          <w:szCs w:val="28"/>
          <w:highlight w:val="none"/>
        </w:rPr>
        <w:t>年；</w:t>
      </w:r>
    </w:p>
    <w:p w14:paraId="11590CB3">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2.5 供热与供冷系统为</w:t>
      </w:r>
      <w:r>
        <w:rPr>
          <w:rFonts w:hint="eastAsia" w:ascii="宋体" w:hAnsi="宋体" w:eastAsia="宋体" w:cs="宋体"/>
          <w:color w:val="auto"/>
          <w:sz w:val="28"/>
          <w:szCs w:val="28"/>
          <w:highlight w:val="none"/>
          <w:u w:val="single"/>
        </w:rPr>
        <w:t xml:space="preserve"> </w:t>
      </w:r>
      <w:r>
        <w:rPr>
          <w:rFonts w:hint="eastAsia" w:cs="宋体"/>
          <w:color w:val="auto"/>
          <w:sz w:val="28"/>
          <w:szCs w:val="28"/>
          <w:highlight w:val="none"/>
          <w:u w:val="single"/>
          <w:lang w:val="en-US" w:eastAsia="zh-CN"/>
        </w:rPr>
        <w:t>2</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个采暖期、供冷期；</w:t>
      </w:r>
    </w:p>
    <w:p w14:paraId="0B2620D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2.6 给排水设施、道路等配套工程为</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p>
    <w:p w14:paraId="773AFA14">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textAlignment w:val="auto"/>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2.7 其他项目</w:t>
      </w:r>
      <w:r>
        <w:rPr>
          <w:rFonts w:hint="eastAsia" w:cs="宋体"/>
          <w:color w:val="auto"/>
          <w:sz w:val="28"/>
          <w:szCs w:val="28"/>
          <w:highlight w:val="none"/>
          <w:lang w:eastAsia="zh-CN"/>
        </w:rPr>
        <w:t>质量保修期</w:t>
      </w:r>
      <w:r>
        <w:rPr>
          <w:rFonts w:hint="eastAsia" w:ascii="宋体" w:hAnsi="宋体" w:eastAsia="宋体" w:cs="宋体"/>
          <w:color w:val="auto"/>
          <w:sz w:val="28"/>
          <w:szCs w:val="28"/>
          <w:highlight w:val="none"/>
        </w:rPr>
        <w:t>限约定如下：</w:t>
      </w:r>
      <w:r>
        <w:rPr>
          <w:rFonts w:hint="eastAsia" w:ascii="宋体" w:hAnsi="宋体" w:eastAsia="宋体" w:cs="宋体"/>
          <w:color w:val="auto"/>
          <w:sz w:val="28"/>
          <w:szCs w:val="28"/>
          <w:highlight w:val="none"/>
          <w:u w:val="single"/>
        </w:rPr>
        <w:t xml:space="preserve"> 2</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w:t>
      </w:r>
    </w:p>
    <w:p w14:paraId="3157888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2.8 </w:t>
      </w:r>
      <w:r>
        <w:rPr>
          <w:rFonts w:hint="eastAsia" w:ascii="宋体" w:hAnsi="宋体" w:cs="宋体"/>
          <w:color w:val="auto"/>
          <w:sz w:val="28"/>
          <w:szCs w:val="28"/>
          <w:highlight w:val="none"/>
          <w:lang w:eastAsia="zh-CN"/>
        </w:rPr>
        <w:t>质量</w:t>
      </w:r>
      <w:r>
        <w:rPr>
          <w:rFonts w:hint="eastAsia" w:cs="宋体"/>
          <w:color w:val="auto"/>
          <w:sz w:val="28"/>
          <w:szCs w:val="28"/>
          <w:highlight w:val="none"/>
          <w:lang w:eastAsia="zh-CN"/>
        </w:rPr>
        <w:t>保修期</w:t>
      </w:r>
      <w:r>
        <w:rPr>
          <w:rFonts w:hint="eastAsia" w:ascii="宋体" w:hAnsi="宋体" w:eastAsia="宋体" w:cs="宋体"/>
          <w:color w:val="auto"/>
          <w:sz w:val="28"/>
          <w:szCs w:val="28"/>
          <w:highlight w:val="none"/>
        </w:rPr>
        <w:t>自</w:t>
      </w:r>
      <w:r>
        <w:rPr>
          <w:rFonts w:hint="eastAsia" w:ascii="宋体" w:hAnsi="宋体" w:eastAsia="宋体" w:cs="宋体"/>
          <w:color w:val="auto"/>
          <w:sz w:val="28"/>
          <w:szCs w:val="28"/>
          <w:highlight w:val="none"/>
          <w:lang w:val="en-US" w:eastAsia="zh-CN"/>
        </w:rPr>
        <w:t>全部</w:t>
      </w:r>
      <w:r>
        <w:rPr>
          <w:rFonts w:hint="eastAsia" w:ascii="宋体" w:hAnsi="宋体" w:eastAsia="宋体" w:cs="宋体"/>
          <w:color w:val="auto"/>
          <w:sz w:val="28"/>
          <w:szCs w:val="28"/>
          <w:highlight w:val="none"/>
        </w:rPr>
        <w:t>工程竣工验收合格之日起计算。</w:t>
      </w:r>
    </w:p>
    <w:p w14:paraId="160B5C6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3.质量保修责任</w:t>
      </w:r>
    </w:p>
    <w:p w14:paraId="6CD0E7F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3.1 属于保修范围、内容的项目，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应在接到保修通知之日起7天内派人保修。</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不在约定期限内派人保修的，</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可委托他人修理。</w:t>
      </w:r>
    </w:p>
    <w:p w14:paraId="20A3EC9B">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3.2 发生紧急抢修事故的，</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在接到事故通知后，应当立即到达事故现场抢修。</w:t>
      </w:r>
    </w:p>
    <w:p w14:paraId="78F83CBC">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3.3 对于涉及结构安全的质量问题，应当按照《房屋建筑工程质量保修办法》的规定，立即向当地建设行政主管部门报告，采取安全防范措施；由原设计单位或者具有相应资质等级的设计单位提出保修方案，</w:t>
      </w:r>
      <w:r>
        <w:rPr>
          <w:rFonts w:hint="eastAsia" w:ascii="宋体" w:hAnsi="宋体" w:cs="宋体"/>
          <w:color w:val="auto"/>
          <w:sz w:val="28"/>
          <w:szCs w:val="28"/>
          <w:highlight w:val="none"/>
          <w:lang w:val="en-US" w:eastAsia="zh-CN"/>
        </w:rPr>
        <w:t>乙方</w:t>
      </w:r>
      <w:r>
        <w:rPr>
          <w:rFonts w:hint="eastAsia" w:ascii="宋体" w:hAnsi="宋体" w:eastAsia="宋体" w:cs="宋体"/>
          <w:color w:val="auto"/>
          <w:sz w:val="28"/>
          <w:szCs w:val="28"/>
          <w:highlight w:val="none"/>
        </w:rPr>
        <w:t>实施保修。</w:t>
      </w:r>
    </w:p>
    <w:p w14:paraId="6C612A27">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3.4 质量保修完成后，由</w:t>
      </w:r>
      <w:r>
        <w:rPr>
          <w:rFonts w:hint="eastAsia" w:ascii="宋体" w:hAnsi="宋体" w:cs="宋体"/>
          <w:color w:val="auto"/>
          <w:sz w:val="28"/>
          <w:szCs w:val="28"/>
          <w:highlight w:val="none"/>
          <w:lang w:val="en-US" w:eastAsia="zh-CN"/>
        </w:rPr>
        <w:t>甲方</w:t>
      </w:r>
      <w:r>
        <w:rPr>
          <w:rFonts w:hint="eastAsia" w:ascii="宋体" w:hAnsi="宋体" w:eastAsia="宋体" w:cs="宋体"/>
          <w:color w:val="auto"/>
          <w:sz w:val="28"/>
          <w:szCs w:val="28"/>
          <w:highlight w:val="none"/>
        </w:rPr>
        <w:t>组织验收。</w:t>
      </w:r>
    </w:p>
    <w:p w14:paraId="0526915E">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0"/>
        <w:jc w:val="left"/>
        <w:textAlignment w:val="auto"/>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4.</w:t>
      </w:r>
      <w:r>
        <w:rPr>
          <w:rFonts w:hint="eastAsia" w:ascii="宋体" w:hAnsi="宋体" w:cs="宋体"/>
          <w:b/>
          <w:color w:val="auto"/>
          <w:sz w:val="28"/>
          <w:szCs w:val="28"/>
          <w:highlight w:val="none"/>
          <w:lang w:val="en-US" w:eastAsia="zh-CN"/>
        </w:rPr>
        <w:t>保修金支付</w:t>
      </w:r>
    </w:p>
    <w:p w14:paraId="51EACF3A">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4.1工程质保金金额为经甲方委托的造价咨询单位审定后的工程竣工结算审定价款的3% 。在缺陷责任期满后，乙方向甲方申请到期应返还乙方的质量保证金金额，甲方应在</w:t>
      </w:r>
      <w:r>
        <w:rPr>
          <w:rFonts w:hint="eastAsia" w:ascii="宋体" w:hAnsi="宋体" w:cs="宋体"/>
          <w:color w:val="auto"/>
          <w:sz w:val="28"/>
          <w:szCs w:val="28"/>
          <w:highlight w:val="none"/>
          <w:lang w:val="en-US" w:eastAsia="zh-CN"/>
        </w:rPr>
        <w:t>28</w:t>
      </w:r>
      <w:r>
        <w:rPr>
          <w:rFonts w:hint="eastAsia" w:ascii="宋体" w:hAnsi="宋体" w:eastAsia="宋体" w:cs="宋体"/>
          <w:color w:val="auto"/>
          <w:sz w:val="28"/>
          <w:szCs w:val="28"/>
          <w:highlight w:val="none"/>
        </w:rPr>
        <w:t>天内会同乙方按照合同约定的内容核实乙方是否完成缺陷责任。如无异议，甲方应当在核实后将剩余保证金无息返还乙方。</w:t>
      </w:r>
    </w:p>
    <w:p w14:paraId="6E5366F1">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4.2在缺陷责任期乙方没有履行质保义务的，甲方有权扣留与未履行责任剩余工作所需金额相应的质量保证金余额，并有权要求延长缺陷责任期，直至完成剩余工作为止。 </w:t>
      </w:r>
    </w:p>
    <w:p w14:paraId="2253FA6E">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4.3本项目缺陷责任期为24个月，自工程</w:t>
      </w:r>
      <w:r>
        <w:rPr>
          <w:rFonts w:hint="eastAsia" w:ascii="宋体" w:hAnsi="宋体" w:cs="宋体"/>
          <w:color w:val="auto"/>
          <w:sz w:val="28"/>
          <w:szCs w:val="28"/>
          <w:highlight w:val="none"/>
          <w:lang w:val="en-US" w:eastAsia="zh-CN"/>
        </w:rPr>
        <w:t>竣工验收</w:t>
      </w:r>
      <w:r>
        <w:rPr>
          <w:rFonts w:hint="eastAsia" w:ascii="宋体" w:hAnsi="宋体" w:eastAsia="宋体" w:cs="宋体"/>
          <w:color w:val="auto"/>
          <w:sz w:val="28"/>
          <w:szCs w:val="28"/>
          <w:highlight w:val="none"/>
        </w:rPr>
        <w:t>证书中写明的全部工程竣工验收合格之日开始算起。缺陷责任期满后，乙方的保修责任延续。</w:t>
      </w:r>
    </w:p>
    <w:p w14:paraId="1F9544AA">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5.其他</w:t>
      </w:r>
    </w:p>
    <w:p w14:paraId="2F84F3B9">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5.1 </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约定的其他工程质量保修事项：</w:t>
      </w:r>
    </w:p>
    <w:p w14:paraId="38CD7534">
      <w:pPr>
        <w:pStyle w:val="9"/>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5.2 本工程质量保修书，由甲乙</w:t>
      </w:r>
      <w:r>
        <w:rPr>
          <w:rFonts w:hint="eastAsia" w:ascii="宋体" w:hAnsi="宋体" w:cs="宋体"/>
          <w:color w:val="auto"/>
          <w:sz w:val="28"/>
          <w:szCs w:val="28"/>
          <w:highlight w:val="none"/>
          <w:lang w:eastAsia="zh-CN"/>
        </w:rPr>
        <w:t>双方</w:t>
      </w:r>
      <w:r>
        <w:rPr>
          <w:rFonts w:hint="eastAsia" w:ascii="宋体" w:hAnsi="宋体" w:eastAsia="宋体" w:cs="宋体"/>
          <w:color w:val="auto"/>
          <w:sz w:val="28"/>
          <w:szCs w:val="28"/>
          <w:highlight w:val="none"/>
        </w:rPr>
        <w:t>在竣工验收前共同签署，作为</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G0615线久治至马尔康段高速公路刷经寺服务区充电站项目</w:t>
      </w:r>
      <w:r>
        <w:rPr>
          <w:rFonts w:hint="eastAsia" w:ascii="宋体" w:hAnsi="宋体" w:cs="宋体"/>
          <w:b w:val="0"/>
          <w:bCs w:val="0"/>
          <w:color w:val="auto"/>
          <w:kern w:val="2"/>
          <w:sz w:val="28"/>
          <w:szCs w:val="28"/>
          <w:highlight w:val="none"/>
          <w:lang w:val="en-US" w:eastAsia="zh-CN" w:bidi="en-US"/>
        </w:rPr>
        <w:t>建设工程</w:t>
      </w:r>
      <w:r>
        <w:rPr>
          <w:rFonts w:hint="eastAsia" w:ascii="宋体" w:hAnsi="宋体" w:eastAsia="宋体" w:cs="宋体"/>
          <w:color w:val="auto"/>
          <w:sz w:val="28"/>
          <w:szCs w:val="28"/>
          <w:highlight w:val="none"/>
        </w:rPr>
        <w:t>施工合同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附件，其有效期限至</w:t>
      </w:r>
      <w:r>
        <w:rPr>
          <w:rFonts w:hint="eastAsia" w:ascii="宋体" w:hAnsi="宋体" w:cs="宋体"/>
          <w:color w:val="auto"/>
          <w:sz w:val="28"/>
          <w:szCs w:val="28"/>
          <w:highlight w:val="none"/>
          <w:lang w:eastAsia="zh-CN"/>
        </w:rPr>
        <w:t>质量保修期</w:t>
      </w:r>
      <w:r>
        <w:rPr>
          <w:rFonts w:hint="eastAsia" w:ascii="宋体" w:hAnsi="宋体" w:eastAsia="宋体" w:cs="宋体"/>
          <w:color w:val="auto"/>
          <w:sz w:val="28"/>
          <w:szCs w:val="28"/>
          <w:highlight w:val="none"/>
        </w:rPr>
        <w:t>满。</w:t>
      </w:r>
    </w:p>
    <w:p w14:paraId="4DAE6FFD">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textAlignment w:val="auto"/>
        <w:rPr>
          <w:rFonts w:hint="eastAsia" w:ascii="宋体" w:hAnsi="宋体" w:cs="宋体"/>
          <w:color w:val="auto"/>
          <w:sz w:val="28"/>
          <w:szCs w:val="28"/>
          <w:highlight w:val="none"/>
        </w:rPr>
      </w:pPr>
      <w:r>
        <w:rPr>
          <w:rFonts w:hint="eastAsia" w:ascii="宋体" w:hAnsi="宋体" w:eastAsia="宋体" w:cs="宋体"/>
          <w:color w:val="auto"/>
          <w:kern w:val="2"/>
          <w:sz w:val="28"/>
          <w:szCs w:val="28"/>
          <w:highlight w:val="none"/>
          <w:lang w:val="en-US" w:eastAsia="zh-CN" w:bidi="ar-SA"/>
        </w:rPr>
        <w:t>5.3本</w:t>
      </w:r>
      <w:r>
        <w:rPr>
          <w:rFonts w:hint="eastAsia" w:ascii="宋体" w:hAnsi="宋体" w:cs="宋体"/>
          <w:color w:val="auto"/>
          <w:kern w:val="2"/>
          <w:sz w:val="28"/>
          <w:szCs w:val="28"/>
          <w:highlight w:val="none"/>
          <w:lang w:val="en-US" w:eastAsia="zh-CN" w:bidi="ar-SA"/>
        </w:rPr>
        <w:t>协议书</w:t>
      </w:r>
      <w:r>
        <w:rPr>
          <w:rFonts w:hint="eastAsia" w:ascii="宋体" w:hAnsi="宋体" w:eastAsia="宋体" w:cs="宋体"/>
          <w:color w:val="auto"/>
          <w:kern w:val="2"/>
          <w:sz w:val="28"/>
          <w:szCs w:val="28"/>
          <w:highlight w:val="none"/>
          <w:lang w:val="en-US" w:eastAsia="zh-CN" w:bidi="ar-SA"/>
        </w:rPr>
        <w:t>一式</w:t>
      </w:r>
      <w:r>
        <w:rPr>
          <w:rFonts w:hint="eastAsia" w:ascii="宋体" w:hAnsi="宋体" w:cs="宋体"/>
          <w:color w:val="auto"/>
          <w:kern w:val="2"/>
          <w:sz w:val="28"/>
          <w:szCs w:val="28"/>
          <w:highlight w:val="none"/>
          <w:lang w:val="en-US" w:eastAsia="zh-CN" w:bidi="ar-SA"/>
        </w:rPr>
        <w:t>捌</w:t>
      </w:r>
      <w:r>
        <w:rPr>
          <w:rFonts w:hint="eastAsia" w:ascii="宋体" w:hAnsi="宋体" w:eastAsia="宋体" w:cs="宋体"/>
          <w:color w:val="auto"/>
          <w:kern w:val="2"/>
          <w:sz w:val="28"/>
          <w:szCs w:val="28"/>
          <w:highlight w:val="none"/>
          <w:lang w:val="en-US" w:eastAsia="zh-CN" w:bidi="ar-SA"/>
        </w:rPr>
        <w:t>份，由甲方执肆份，乙方执肆份。</w:t>
      </w:r>
    </w:p>
    <w:tbl>
      <w:tblPr>
        <w:tblStyle w:val="16"/>
        <w:tblpPr w:leftFromText="180" w:rightFromText="180" w:vertAnchor="text" w:horzAnchor="page" w:tblpX="1780" w:tblpY="588"/>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5279D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15A597C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6E21C1A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20508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2500" w:type="pct"/>
            <w:noWrap w:val="0"/>
            <w:vAlign w:val="top"/>
          </w:tcPr>
          <w:p w14:paraId="02734CC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482D1B4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D2A1E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5D22B73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68E3E68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648F1BD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162F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500" w:type="pct"/>
            <w:noWrap w:val="0"/>
            <w:vAlign w:val="top"/>
          </w:tcPr>
          <w:p w14:paraId="41982664">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4EA6277A">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c>
          <w:tcPr>
            <w:tcW w:w="2500" w:type="pct"/>
            <w:noWrap w:val="0"/>
            <w:vAlign w:val="top"/>
          </w:tcPr>
          <w:p w14:paraId="7065A467">
            <w:pPr>
              <w:keepNext w:val="0"/>
              <w:keepLines w:val="0"/>
              <w:pageBreakBefore w:val="0"/>
              <w:widowControl w:val="0"/>
              <w:kinsoku/>
              <w:wordWrap/>
              <w:overflowPunct/>
              <w:topLinePunct w:val="0"/>
              <w:autoSpaceDE/>
              <w:autoSpaceDN/>
              <w:bidi w:val="0"/>
              <w:adjustRightInd w:val="0"/>
              <w:snapToGrid w:val="0"/>
              <w:spacing w:line="360" w:lineRule="auto"/>
              <w:ind w:right="0"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 xml:space="preserve">日          </w:t>
            </w:r>
          </w:p>
          <w:p w14:paraId="6FAE38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val="en-US" w:eastAsia="zh-CN"/>
              </w:rPr>
            </w:pPr>
          </w:p>
        </w:tc>
      </w:tr>
    </w:tbl>
    <w:p w14:paraId="34EE478A">
      <w:pPr>
        <w:spacing w:line="600" w:lineRule="exact"/>
        <w:rPr>
          <w:rFonts w:hint="eastAsia" w:ascii="宋体" w:hAnsi="宋体" w:eastAsia="宋体" w:cs="宋体"/>
          <w:b/>
          <w:color w:val="auto"/>
          <w:sz w:val="28"/>
          <w:szCs w:val="28"/>
          <w:highlight w:val="none"/>
          <w:u w:val="none"/>
          <w:lang w:val="en-US" w:eastAsia="zh-CN"/>
        </w:rPr>
      </w:pPr>
      <w:r>
        <w:rPr>
          <w:rFonts w:hint="eastAsia" w:ascii="宋体" w:hAnsi="宋体" w:eastAsia="宋体" w:cs="宋体"/>
          <w:b/>
          <w:color w:val="auto"/>
          <w:sz w:val="28"/>
          <w:szCs w:val="28"/>
          <w:highlight w:val="none"/>
          <w:u w:val="none"/>
          <w:lang w:val="en-US" w:eastAsia="zh-CN"/>
        </w:rPr>
        <w:t>附件2</w:t>
      </w:r>
    </w:p>
    <w:p w14:paraId="71D32B51">
      <w:pPr>
        <w:jc w:val="center"/>
        <w:rPr>
          <w:rFonts w:hint="default" w:ascii="黑体" w:hAnsi="黑体" w:eastAsia="黑体" w:cs="黑体"/>
          <w:sz w:val="36"/>
          <w:szCs w:val="36"/>
          <w:highlight w:val="none"/>
          <w:lang w:val="en-US" w:eastAsia="zh-CN"/>
        </w:rPr>
      </w:pPr>
      <w:r>
        <w:rPr>
          <w:rFonts w:hint="default" w:ascii="黑体" w:hAnsi="黑体" w:eastAsia="黑体" w:cs="黑体"/>
          <w:sz w:val="36"/>
          <w:szCs w:val="36"/>
          <w:highlight w:val="none"/>
          <w:lang w:val="en-US" w:eastAsia="zh-CN"/>
        </w:rPr>
        <w:t>工程安全文明环保施工合同</w:t>
      </w:r>
    </w:p>
    <w:p w14:paraId="511EDF4D">
      <w:pPr>
        <w:snapToGrid w:val="0"/>
        <w:spacing w:line="360" w:lineRule="auto"/>
        <w:ind w:firstLine="482" w:firstLineChars="200"/>
        <w:rPr>
          <w:rFonts w:hint="eastAsia" w:ascii="宋体" w:hAnsi="宋体" w:cs="宋体"/>
          <w:b/>
          <w:sz w:val="24"/>
          <w:szCs w:val="24"/>
          <w:highlight w:val="none"/>
        </w:rPr>
      </w:pPr>
    </w:p>
    <w:p w14:paraId="6D613D45">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eastAsia="zh-CN"/>
        </w:rPr>
        <w:t>发包人</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b/>
          <w:sz w:val="28"/>
          <w:szCs w:val="28"/>
          <w:highlight w:val="none"/>
          <w:lang w:val="en-US" w:eastAsia="zh-CN"/>
        </w:rPr>
        <w:t>甲方</w:t>
      </w:r>
      <w:r>
        <w:rPr>
          <w:rFonts w:hint="eastAsia" w:asciiTheme="minorEastAsia" w:hAnsiTheme="minorEastAsia" w:eastAsiaTheme="minorEastAsia" w:cstheme="minorEastAsia"/>
          <w:b/>
          <w:sz w:val="28"/>
          <w:szCs w:val="28"/>
          <w:highlight w:val="none"/>
        </w:rPr>
        <w:t>）：</w:t>
      </w:r>
      <w:r>
        <w:rPr>
          <w:rFonts w:hint="eastAsia" w:asciiTheme="minorEastAsia" w:hAnsiTheme="minorEastAsia" w:eastAsiaTheme="minorEastAsia" w:cstheme="minorEastAsia"/>
          <w:sz w:val="28"/>
          <w:szCs w:val="28"/>
          <w:highlight w:val="none"/>
          <w:u w:val="single"/>
        </w:rPr>
        <w:t xml:space="preserve">四川蜀道新能源科技发展有限公司 </w:t>
      </w:r>
    </w:p>
    <w:p w14:paraId="6A43BF38">
      <w:pPr>
        <w:snapToGrid w:val="0"/>
        <w:spacing w:line="360" w:lineRule="auto"/>
        <w:ind w:firstLine="0" w:firstLineChars="0"/>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lang w:val="en-US" w:eastAsia="zh-CN"/>
        </w:rPr>
        <w:t>承包人</w:t>
      </w:r>
      <w:r>
        <w:rPr>
          <w:rFonts w:hint="eastAsia" w:asciiTheme="minorEastAsia" w:hAnsiTheme="minorEastAsia" w:eastAsiaTheme="minorEastAsia" w:cstheme="minorEastAsia"/>
          <w:b/>
          <w:sz w:val="28"/>
          <w:szCs w:val="28"/>
          <w:highlight w:val="none"/>
        </w:rPr>
        <w:t>（乙方）：</w:t>
      </w:r>
      <w:r>
        <w:rPr>
          <w:rFonts w:hint="eastAsia" w:asciiTheme="minorEastAsia" w:hAnsiTheme="minorEastAsia" w:eastAsiaTheme="minorEastAsia" w:cstheme="minorEastAsia"/>
          <w:b/>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p>
    <w:p w14:paraId="12B100B9">
      <w:pPr>
        <w:snapToGrid w:val="0"/>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为了确保实现</w:t>
      </w:r>
      <w:r>
        <w:rPr>
          <w:rFonts w:hint="eastAsia" w:asciiTheme="minorEastAsia" w:hAnsiTheme="minorEastAsia" w:eastAsiaTheme="minorEastAsia" w:cstheme="minorEastAsia"/>
          <w:sz w:val="28"/>
          <w:szCs w:val="28"/>
          <w:highlight w:val="none"/>
          <w:u w:val="single"/>
          <w:lang w:val="en-US" w:eastAsia="zh-CN"/>
        </w:rPr>
        <w:t>G0615线久治至马尔康段高速公路刷经寺服务区充电站项目</w:t>
      </w:r>
      <w:r>
        <w:rPr>
          <w:rFonts w:hint="eastAsia" w:asciiTheme="minorEastAsia" w:hAnsiTheme="minorEastAsia" w:eastAsiaTheme="minorEastAsia" w:cstheme="minorEastAsia"/>
          <w:sz w:val="28"/>
          <w:szCs w:val="28"/>
          <w:highlight w:val="none"/>
        </w:rPr>
        <w:t>安全生产目标，进一步明确双方的安全管理责任，加强安全生产管理工作的协调、管理力度，</w:t>
      </w:r>
      <w:r>
        <w:rPr>
          <w:rFonts w:hint="eastAsia" w:asciiTheme="minorEastAsia" w:hAnsiTheme="minorEastAsia" w:eastAsiaTheme="minorEastAsia" w:cstheme="minorEastAsia"/>
          <w:sz w:val="28"/>
          <w:szCs w:val="28"/>
          <w:highlight w:val="none"/>
          <w:u w:val="single"/>
        </w:rPr>
        <w:t>四川蜀道新能源科技发展有限公司</w:t>
      </w:r>
      <w:r>
        <w:rPr>
          <w:rFonts w:hint="eastAsia" w:asciiTheme="minorEastAsia" w:hAnsiTheme="minorEastAsia" w:eastAsiaTheme="minorEastAsia" w:cstheme="minorEastAsia"/>
          <w:sz w:val="28"/>
          <w:szCs w:val="28"/>
          <w:highlight w:val="none"/>
        </w:rPr>
        <w:t>（以下简称“发包人”）与</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u w:val="single"/>
          <w:lang w:val="en-US" w:eastAsia="zh-CN"/>
        </w:rPr>
        <w:t xml:space="preserve">          </w:t>
      </w:r>
      <w:r>
        <w:rPr>
          <w:rFonts w:hint="eastAsia" w:asciiTheme="minorEastAsia" w:hAnsiTheme="minorEastAsia" w:eastAsiaTheme="minorEastAsia" w:cstheme="minorEastAsia"/>
          <w:sz w:val="28"/>
          <w:szCs w:val="28"/>
          <w:highlight w:val="none"/>
          <w:u w:val="single"/>
        </w:rPr>
        <w:t xml:space="preserve"> </w:t>
      </w:r>
      <w:r>
        <w:rPr>
          <w:rFonts w:hint="eastAsia" w:asciiTheme="minorEastAsia" w:hAnsiTheme="minorEastAsia" w:eastAsiaTheme="minorEastAsia" w:cstheme="minorEastAsia"/>
          <w:sz w:val="28"/>
          <w:szCs w:val="28"/>
          <w:highlight w:val="none"/>
        </w:rPr>
        <w:t>（以下简称“承包人”）依据国家安全生产相关的法律、法规和安全方面的强制性国家标准或行业标准，双方同意签订该协议作为</w:t>
      </w:r>
      <w:r>
        <w:rPr>
          <w:rFonts w:hint="eastAsia" w:asciiTheme="minorEastAsia" w:hAnsiTheme="minorEastAsia" w:eastAsiaTheme="minorEastAsia" w:cstheme="minorEastAsia"/>
          <w:b w:val="0"/>
          <w:color w:val="auto"/>
          <w:kern w:val="2"/>
          <w:sz w:val="28"/>
          <w:szCs w:val="28"/>
          <w:highlight w:val="none"/>
          <w:u w:val="none"/>
          <w:lang w:val="en-US" w:eastAsia="zh-CN"/>
        </w:rPr>
        <w:t>《</w:t>
      </w:r>
      <w:r>
        <w:rPr>
          <w:rFonts w:hint="eastAsia" w:asciiTheme="minorEastAsia" w:hAnsiTheme="minorEastAsia" w:eastAsiaTheme="minorEastAsia" w:cstheme="minorEastAsia"/>
          <w:sz w:val="28"/>
          <w:szCs w:val="28"/>
          <w:highlight w:val="none"/>
          <w:lang w:val="en-US" w:eastAsia="zh-CN"/>
        </w:rPr>
        <w:t>G0615线久治至马尔康段高速公路刷经寺服务区充电站项目建设工程施工合</w:t>
      </w:r>
      <w:r>
        <w:rPr>
          <w:rStyle w:val="17"/>
          <w:rFonts w:hint="eastAsia" w:asciiTheme="minorEastAsia" w:hAnsiTheme="minorEastAsia" w:eastAsiaTheme="minorEastAsia" w:cstheme="minorEastAsia"/>
          <w:b w:val="0"/>
          <w:sz w:val="28"/>
          <w:szCs w:val="28"/>
          <w:highlight w:val="none"/>
          <w:lang w:val="en-US" w:eastAsia="zh-CN"/>
        </w:rPr>
        <w:t>同</w:t>
      </w:r>
      <w:r>
        <w:rPr>
          <w:rFonts w:hint="eastAsia" w:asciiTheme="minorEastAsia" w:hAnsiTheme="minorEastAsia" w:eastAsiaTheme="minorEastAsia" w:cstheme="minorEastAsia"/>
          <w:b w:val="0"/>
          <w:color w:val="auto"/>
          <w:kern w:val="2"/>
          <w:sz w:val="28"/>
          <w:szCs w:val="28"/>
          <w:highlight w:val="none"/>
          <w:u w:val="none"/>
          <w:lang w:eastAsia="zh-CN"/>
        </w:rPr>
        <w:t>》</w:t>
      </w:r>
      <w:r>
        <w:rPr>
          <w:rFonts w:hint="eastAsia" w:asciiTheme="minorEastAsia" w:hAnsiTheme="minorEastAsia" w:eastAsiaTheme="minorEastAsia" w:cstheme="minorEastAsia"/>
          <w:sz w:val="28"/>
          <w:szCs w:val="28"/>
          <w:highlight w:val="none"/>
        </w:rPr>
        <w:t>安全管理方面的补充规定，并承诺本协议具有与合同相同的法律效力。具体条款如下：</w:t>
      </w:r>
    </w:p>
    <w:p w14:paraId="6BE991E1">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一、协议有效期限</w:t>
      </w:r>
    </w:p>
    <w:p w14:paraId="21E8980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本协议中所涉及的安全管理责任自合同签订之日起开始生效，至合同工程全部</w:t>
      </w:r>
      <w:r>
        <w:rPr>
          <w:rFonts w:hint="eastAsia" w:asciiTheme="minorEastAsia" w:hAnsiTheme="minorEastAsia" w:eastAsiaTheme="minorEastAsia" w:cstheme="minorEastAsia"/>
          <w:sz w:val="28"/>
          <w:szCs w:val="28"/>
          <w:highlight w:val="none"/>
          <w:lang w:val="en-US" w:eastAsia="zh-CN"/>
        </w:rPr>
        <w:t>竣工</w:t>
      </w:r>
      <w:r>
        <w:rPr>
          <w:rFonts w:hint="eastAsia" w:asciiTheme="minorEastAsia" w:hAnsiTheme="minorEastAsia" w:eastAsiaTheme="minorEastAsia" w:cstheme="minorEastAsia"/>
          <w:sz w:val="28"/>
          <w:szCs w:val="28"/>
          <w:highlight w:val="none"/>
        </w:rPr>
        <w:t>验收</w:t>
      </w:r>
      <w:r>
        <w:rPr>
          <w:rFonts w:hint="eastAsia" w:asciiTheme="minorEastAsia" w:hAnsiTheme="minorEastAsia" w:eastAsiaTheme="minorEastAsia" w:cstheme="minorEastAsia"/>
          <w:sz w:val="28"/>
          <w:szCs w:val="28"/>
          <w:highlight w:val="none"/>
          <w:lang w:val="en-US" w:eastAsia="zh-CN"/>
        </w:rPr>
        <w:t>合格</w:t>
      </w:r>
      <w:r>
        <w:rPr>
          <w:rFonts w:hint="eastAsia" w:asciiTheme="minorEastAsia" w:hAnsiTheme="minorEastAsia" w:eastAsiaTheme="minorEastAsia" w:cstheme="minorEastAsia"/>
          <w:sz w:val="28"/>
          <w:szCs w:val="28"/>
          <w:highlight w:val="none"/>
        </w:rPr>
        <w:t>且</w:t>
      </w:r>
      <w:r>
        <w:rPr>
          <w:rFonts w:hint="eastAsia" w:asciiTheme="minorEastAsia" w:hAnsiTheme="minorEastAsia" w:eastAsiaTheme="minorEastAsia" w:cstheme="minorEastAsia"/>
          <w:sz w:val="28"/>
          <w:szCs w:val="28"/>
          <w:highlight w:val="none"/>
          <w:lang w:val="en-US" w:eastAsia="zh-CN"/>
        </w:rPr>
        <w:t>工程</w:t>
      </w:r>
      <w:r>
        <w:rPr>
          <w:rFonts w:hint="eastAsia" w:asciiTheme="minorEastAsia" w:hAnsiTheme="minorEastAsia" w:eastAsiaTheme="minorEastAsia" w:cstheme="minorEastAsia"/>
          <w:sz w:val="28"/>
          <w:szCs w:val="28"/>
          <w:highlight w:val="none"/>
        </w:rPr>
        <w:t>移交之日终止。</w:t>
      </w:r>
    </w:p>
    <w:p w14:paraId="152F0DBC">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二、责任目标</w:t>
      </w:r>
    </w:p>
    <w:p w14:paraId="3A38E5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（一）承包人承诺承担和履行合同</w:t>
      </w:r>
      <w:r>
        <w:rPr>
          <w:rFonts w:hint="eastAsia" w:asciiTheme="minorEastAsia" w:hAnsiTheme="minorEastAsia" w:eastAsiaTheme="minorEastAsia" w:cstheme="minorEastAsia"/>
          <w:sz w:val="28"/>
          <w:szCs w:val="28"/>
          <w:highlight w:val="none"/>
          <w:lang w:val="en-US" w:eastAsia="zh-CN"/>
        </w:rPr>
        <w:t>约</w:t>
      </w:r>
      <w:r>
        <w:rPr>
          <w:rFonts w:hint="eastAsia" w:asciiTheme="minorEastAsia" w:hAnsiTheme="minorEastAsia" w:eastAsiaTheme="minorEastAsia" w:cstheme="minorEastAsia"/>
          <w:sz w:val="28"/>
          <w:szCs w:val="28"/>
          <w:highlight w:val="none"/>
        </w:rPr>
        <w:t>定的安全责任，且满足要求。</w:t>
      </w:r>
    </w:p>
    <w:p w14:paraId="0FFE1BD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（二）承包人的安全控制目标是确保本工程在实施过程中：</w:t>
      </w:r>
    </w:p>
    <w:p w14:paraId="5E9828A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不发生人身重伤</w:t>
      </w:r>
      <w:r>
        <w:rPr>
          <w:rFonts w:hint="eastAsia" w:asciiTheme="minorEastAsia" w:hAnsiTheme="minorEastAsia" w:eastAsiaTheme="minorEastAsia" w:cstheme="minorEastAsia"/>
          <w:sz w:val="28"/>
          <w:szCs w:val="28"/>
          <w:highlight w:val="none"/>
          <w:lang w:val="en-US" w:eastAsia="zh-CN"/>
        </w:rPr>
        <w:t>及以上</w:t>
      </w:r>
      <w:r>
        <w:rPr>
          <w:rFonts w:hint="eastAsia" w:asciiTheme="minorEastAsia" w:hAnsiTheme="minorEastAsia" w:eastAsiaTheme="minorEastAsia" w:cstheme="minorEastAsia"/>
          <w:sz w:val="28"/>
          <w:szCs w:val="28"/>
          <w:highlight w:val="none"/>
        </w:rPr>
        <w:t>事故；</w:t>
      </w:r>
    </w:p>
    <w:p w14:paraId="4E23C3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不发生火灾</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物体打击、触电、机械伤害、高处坠落、起重伤害</w:t>
      </w:r>
      <w:r>
        <w:rPr>
          <w:rFonts w:hint="eastAsia" w:asciiTheme="minorEastAsia" w:hAnsiTheme="minorEastAsia" w:eastAsiaTheme="minorEastAsia" w:cstheme="minorEastAsia"/>
          <w:kern w:val="2"/>
          <w:sz w:val="28"/>
          <w:szCs w:val="28"/>
          <w:highlight w:val="none"/>
          <w:lang w:val="en-US" w:eastAsia="zh-CN" w:bidi="ar"/>
        </w:rPr>
        <w:t>等责任事故</w:t>
      </w:r>
      <w:r>
        <w:rPr>
          <w:rFonts w:hint="eastAsia" w:asciiTheme="minorEastAsia" w:hAnsiTheme="minorEastAsia" w:eastAsiaTheme="minorEastAsia" w:cstheme="minorEastAsia"/>
          <w:sz w:val="28"/>
          <w:szCs w:val="28"/>
          <w:highlight w:val="none"/>
        </w:rPr>
        <w:t>；</w:t>
      </w:r>
    </w:p>
    <w:p w14:paraId="6142640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w:t>
      </w:r>
      <w:r>
        <w:rPr>
          <w:rFonts w:hint="eastAsia" w:asciiTheme="minorEastAsia" w:hAnsiTheme="minorEastAsia" w:eastAsiaTheme="minorEastAsia" w:cstheme="minorEastAsia"/>
          <w:sz w:val="28"/>
          <w:szCs w:val="28"/>
          <w:highlight w:val="none"/>
          <w:lang w:val="en-US" w:eastAsia="zh-CN"/>
        </w:rPr>
        <w:t>自身负有主要责任的造成人员重伤或死亡的交通事故</w:t>
      </w:r>
      <w:r>
        <w:rPr>
          <w:rFonts w:hint="eastAsia" w:asciiTheme="minorEastAsia" w:hAnsiTheme="minorEastAsia" w:eastAsiaTheme="minorEastAsia" w:cstheme="minorEastAsia"/>
          <w:sz w:val="28"/>
          <w:szCs w:val="28"/>
          <w:highlight w:val="none"/>
        </w:rPr>
        <w:t>；</w:t>
      </w:r>
    </w:p>
    <w:p w14:paraId="7CE5C84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不发生集体食物中毒事件（同时5人及以上的食物中毒）；</w:t>
      </w:r>
    </w:p>
    <w:p w14:paraId="0E83CA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不发生流行性传染病 （无甲型传染病、其他常见传染病未形成多人同时患病）；</w:t>
      </w:r>
    </w:p>
    <w:p w14:paraId="04198D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不发生重大环境污染事件（生活、工业垃圾及其他污染物造成环境污染和大面积水土流失）；</w:t>
      </w:r>
    </w:p>
    <w:p w14:paraId="1E365A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不发生对施工区附近生产、生活造成重大影响的事件（如造成重大设备损坏、重大财产损失、人员伤害等）；</w:t>
      </w:r>
    </w:p>
    <w:p w14:paraId="4C068466">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不发生治安保卫事件（构成刑事拘留及以上的事件、盗窃直接损失超过1万元人民币的事件）</w:t>
      </w:r>
      <w:r>
        <w:rPr>
          <w:rFonts w:hint="eastAsia" w:asciiTheme="minorEastAsia" w:hAnsiTheme="minorEastAsia" w:eastAsiaTheme="minorEastAsia" w:cstheme="minorEastAsia"/>
          <w:sz w:val="28"/>
          <w:szCs w:val="28"/>
          <w:highlight w:val="none"/>
          <w:lang w:eastAsia="zh-CN"/>
        </w:rPr>
        <w:t>；</w:t>
      </w:r>
    </w:p>
    <w:p w14:paraId="6361595B">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kern w:val="2"/>
          <w:sz w:val="28"/>
          <w:szCs w:val="28"/>
          <w:highlight w:val="none"/>
          <w:lang w:val="en-US" w:eastAsia="zh-CN" w:bidi="ar"/>
        </w:rPr>
        <w:t>不发生因违反政府相关规定的，被政府相关管理机构勒令停工事件。</w:t>
      </w:r>
    </w:p>
    <w:p w14:paraId="3FC9DB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（三）承包人承诺在施工中控制以下安全事故的发生：</w:t>
      </w:r>
    </w:p>
    <w:p w14:paraId="455A812D">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人员轻伤事故。</w:t>
      </w:r>
    </w:p>
    <w:p w14:paraId="74769DC4">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负有同等及以上事故责任的人身轻伤交通事故。</w:t>
      </w:r>
    </w:p>
    <w:p w14:paraId="5A6A0A06">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其他安全未遂事故和异常事件。</w:t>
      </w:r>
    </w:p>
    <w:p w14:paraId="23EBD14A">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三、安全责任</w:t>
      </w:r>
    </w:p>
    <w:p w14:paraId="745CC15E">
      <w:pPr>
        <w:keepNext w:val="0"/>
        <w:keepLines w:val="0"/>
        <w:widowControl/>
        <w:suppressLineNumbers w:val="0"/>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1.承包人应严格遵守国家法律、法规、国务院部门规章。严格执行国家标准、行业标准中的有关部分。包括但不限于以下有关文件要求：</w:t>
      </w:r>
      <w:r>
        <w:rPr>
          <w:rFonts w:hint="eastAsia" w:asciiTheme="minorEastAsia" w:hAnsiTheme="minorEastAsia" w:eastAsiaTheme="minorEastAsia" w:cstheme="minorEastAsia"/>
          <w:sz w:val="28"/>
          <w:szCs w:val="28"/>
          <w:highlight w:val="none"/>
        </w:rPr>
        <w:t>《建设工程施工现场消防安全技术规范GB 50720》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《个体防护装备配备规范 GB 39800》《建设工程施工现场供用电安全规范 GB 50194》《施工脚手架通用规范GB 55023》《焊接与切割安全 GB 9448》《手持式电动工具的管理、使用、检查和 维修安全技术规程 GB/T 3787》</w:t>
      </w:r>
      <w:r>
        <w:rPr>
          <w:rFonts w:hint="eastAsia" w:asciiTheme="minorEastAsia" w:hAnsiTheme="minorEastAsia" w:eastAsiaTheme="minorEastAsia" w:cstheme="minorEastAsia"/>
          <w:i w:val="0"/>
          <w:iCs w:val="0"/>
          <w:caps w:val="0"/>
          <w:spacing w:val="0"/>
          <w:sz w:val="28"/>
          <w:szCs w:val="28"/>
          <w:highlight w:val="none"/>
          <w:shd w:val="clear"/>
        </w:rPr>
        <w:t>《建筑与市政工程施工现场临时用电安全技术标准JGJ/T46-2024》</w:t>
      </w:r>
      <w:r>
        <w:rPr>
          <w:rFonts w:hint="eastAsia" w:asciiTheme="minorEastAsia" w:hAnsiTheme="minorEastAsia" w:eastAsiaTheme="minorEastAsia" w:cstheme="minorEastAsia"/>
          <w:sz w:val="28"/>
          <w:szCs w:val="28"/>
          <w:highlight w:val="none"/>
        </w:rPr>
        <w:t xml:space="preserve"> 《建筑施工起重吊装工程安全技术规范JGJ 276》《建筑机械使用安全技术规程JGJ 33》《建筑施工高处作业安全技术规范JGJ 80》《建</w:t>
      </w:r>
      <w:r>
        <w:rPr>
          <w:rFonts w:hint="eastAsia" w:asciiTheme="minorEastAsia" w:hAnsiTheme="minorEastAsia" w:eastAsiaTheme="minorEastAsia" w:cstheme="minorEastAsia"/>
          <w:sz w:val="28"/>
          <w:szCs w:val="28"/>
          <w:highlight w:val="none"/>
          <w:lang w:val="en-US" w:eastAsia="zh-CN"/>
        </w:rPr>
        <w:t>设</w:t>
      </w:r>
      <w:r>
        <w:rPr>
          <w:rFonts w:hint="eastAsia" w:asciiTheme="minorEastAsia" w:hAnsiTheme="minorEastAsia" w:eastAsiaTheme="minorEastAsia" w:cstheme="minorEastAsia"/>
          <w:sz w:val="28"/>
          <w:szCs w:val="28"/>
          <w:highlight w:val="none"/>
        </w:rPr>
        <w:t>工程施工现场环境</w:t>
      </w:r>
      <w:r>
        <w:rPr>
          <w:rFonts w:hint="eastAsia" w:asciiTheme="minorEastAsia" w:hAnsiTheme="minorEastAsia" w:eastAsiaTheme="minorEastAsia" w:cstheme="minorEastAsia"/>
          <w:sz w:val="28"/>
          <w:szCs w:val="28"/>
          <w:highlight w:val="none"/>
          <w:lang w:val="en-US" w:eastAsia="zh-CN"/>
        </w:rPr>
        <w:t>与</w:t>
      </w:r>
      <w:r>
        <w:rPr>
          <w:rFonts w:hint="eastAsia" w:asciiTheme="minorEastAsia" w:hAnsiTheme="minorEastAsia" w:eastAsiaTheme="minorEastAsia" w:cstheme="minorEastAsia"/>
          <w:sz w:val="28"/>
          <w:szCs w:val="28"/>
          <w:highlight w:val="none"/>
        </w:rPr>
        <w:t>卫生标准JGJ 146》《建筑施工土石方工程安全技术规范JGJ 180》《建筑施工安全检查标准JGJ 59》《电力建设安全工作规程 第3部分：变电站 DL 5009.3》《</w:t>
      </w:r>
      <w:r>
        <w:rPr>
          <w:rStyle w:val="17"/>
          <w:rFonts w:hint="eastAsia" w:asciiTheme="minorEastAsia" w:hAnsiTheme="minorEastAsia" w:eastAsiaTheme="minorEastAsia" w:cstheme="minorEastAsia"/>
          <w:i w:val="0"/>
          <w:iCs w:val="0"/>
          <w:caps w:val="0"/>
          <w:color w:val="333333"/>
          <w:spacing w:val="0"/>
          <w:sz w:val="28"/>
          <w:szCs w:val="28"/>
          <w:highlight w:val="none"/>
          <w:shd w:val="clear" w:fill="FFFFFF"/>
        </w:rPr>
        <w:t>电力安全工作规程</w:t>
      </w:r>
      <w:r>
        <w:rPr>
          <w:rFonts w:hint="eastAsia" w:asciiTheme="minorEastAsia" w:hAnsiTheme="minorEastAsia" w:eastAsiaTheme="minorEastAsia" w:cstheme="minorEastAsia"/>
          <w:sz w:val="28"/>
          <w:szCs w:val="28"/>
          <w:highlight w:val="none"/>
        </w:rPr>
        <w:t>DL</w:t>
      </w:r>
      <w:r>
        <w:rPr>
          <w:rFonts w:hint="eastAsia" w:asciiTheme="minorEastAsia" w:hAnsiTheme="minorEastAsia" w:eastAsiaTheme="minorEastAsia" w:cstheme="minorEastAsia"/>
          <w:sz w:val="28"/>
          <w:szCs w:val="28"/>
          <w:highlight w:val="none"/>
          <w:lang w:val="en-US" w:eastAsia="zh-CN"/>
        </w:rPr>
        <w:t xml:space="preserve">/T </w:t>
      </w:r>
      <w:r>
        <w:rPr>
          <w:rFonts w:hint="eastAsia" w:asciiTheme="minorEastAsia" w:hAnsiTheme="minorEastAsia" w:eastAsiaTheme="minorEastAsia" w:cstheme="minorEastAsia"/>
          <w:sz w:val="28"/>
          <w:szCs w:val="28"/>
          <w:highlight w:val="none"/>
        </w:rPr>
        <w:t>40</w:t>
      </w:r>
      <w:r>
        <w:rPr>
          <w:rFonts w:hint="eastAsia" w:asciiTheme="minorEastAsia" w:hAnsiTheme="minorEastAsia" w:eastAsiaTheme="minorEastAsia" w:cstheme="minorEastAsia"/>
          <w:sz w:val="28"/>
          <w:szCs w:val="28"/>
          <w:highlight w:val="none"/>
          <w:lang w:val="en-US" w:eastAsia="zh-CN"/>
        </w:rPr>
        <w:t>9-2023</w:t>
      </w:r>
      <w:r>
        <w:rPr>
          <w:rFonts w:hint="eastAsia" w:asciiTheme="minorEastAsia" w:hAnsiTheme="minorEastAsia" w:eastAsiaTheme="minorEastAsia" w:cstheme="minorEastAsia"/>
          <w:sz w:val="28"/>
          <w:szCs w:val="28"/>
          <w:highlight w:val="none"/>
        </w:rPr>
        <w:t>》</w:t>
      </w:r>
      <w:r>
        <w:rPr>
          <w:rFonts w:hint="eastAsia" w:asciiTheme="minorEastAsia" w:hAnsiTheme="minorEastAsia" w:eastAsiaTheme="minorEastAsia" w:cstheme="minorEastAsia"/>
          <w:sz w:val="28"/>
          <w:szCs w:val="28"/>
          <w:highlight w:val="none"/>
          <w:lang w:eastAsia="zh-CN"/>
        </w:rPr>
        <w:t>。</w:t>
      </w:r>
    </w:p>
    <w:p w14:paraId="06A20960">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负有安全生产的管理责任和直接责任。</w:t>
      </w:r>
    </w:p>
    <w:p w14:paraId="1A52E989">
      <w:pPr>
        <w:spacing w:line="360" w:lineRule="auto"/>
        <w:ind w:firstLine="560" w:firstLineChars="200"/>
        <w:jc w:val="both"/>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乙方</w:t>
      </w:r>
      <w:r>
        <w:rPr>
          <w:rFonts w:hint="eastAsia" w:asciiTheme="minorEastAsia" w:hAnsiTheme="minorEastAsia" w:eastAsiaTheme="minorEastAsia" w:cstheme="minorEastAsia"/>
          <w:sz w:val="28"/>
          <w:szCs w:val="28"/>
          <w:highlight w:val="none"/>
        </w:rPr>
        <w:t>的法人或签署合同的公司总经理或受委托的代理人对合同安全负有全面的领导责任。</w:t>
      </w:r>
    </w:p>
    <w:p w14:paraId="4836C56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承包人项目经理对施工现场的安全工作负有全面的直接领导责任。</w:t>
      </w:r>
    </w:p>
    <w:p w14:paraId="0A98407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承包人保证执行“谁施工、谁负责”的施工安全原则。</w:t>
      </w:r>
    </w:p>
    <w:p w14:paraId="55DE8186">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承包人保证服从发包人对安全工作的统一协调和管理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发包人有权对承包人进行安全检查，检查中发现</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施工项目存在安全隐患、违章违纪行为、其他违反法律法规国标行标的行为或违反合同规定的问题的，有权要求</w:t>
      </w:r>
      <w:r>
        <w:rPr>
          <w:rFonts w:hint="eastAsia" w:asciiTheme="minorEastAsia" w:hAnsiTheme="minorEastAsia" w:eastAsiaTheme="minorEastAsia" w:cstheme="minorEastAsia"/>
          <w:sz w:val="28"/>
          <w:szCs w:val="28"/>
          <w:highlight w:val="none"/>
        </w:rPr>
        <w:t>承包人</w:t>
      </w:r>
      <w:r>
        <w:rPr>
          <w:rFonts w:hint="eastAsia" w:asciiTheme="minorEastAsia" w:hAnsiTheme="minorEastAsia" w:eastAsiaTheme="minorEastAsia" w:cstheme="minorEastAsia"/>
          <w:kern w:val="2"/>
          <w:sz w:val="28"/>
          <w:szCs w:val="28"/>
          <w:highlight w:val="none"/>
          <w:lang w:val="en-US" w:eastAsia="zh-CN" w:bidi="ar"/>
        </w:rPr>
        <w:t>立即整改，有权采取警告批评或按合同规定进行处罚。施工单位无法立即整改，因整改造成工程延期的，延期损失由施工单位承担。拒不整改或屡纠不改的。发包方有权责令施工单位停工整改，因此原因停工造成一切损失和后果由承包人负责。同时，每停工整改一天，承包人需按5000元/天向发包人支付违约金。</w:t>
      </w:r>
    </w:p>
    <w:p w14:paraId="24B0F7D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承包人保证对本工程项目安全生产条件及其管理资源自行投入，保证安全资金的专款专用。</w:t>
      </w:r>
    </w:p>
    <w:p w14:paraId="21FD53F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承包人保证建立本工程项目的安全管理体系及安全保证体系（注：项目安全管理大纲/手册、管理性的程序文件等）。</w:t>
      </w:r>
    </w:p>
    <w:p w14:paraId="52AFD16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承包人保证按照国家法律规定为现场所有工作人员（含分包商员工及劳务人员）购买意外伤害保险。</w:t>
      </w:r>
    </w:p>
    <w:p w14:paraId="71FD45C1">
      <w:pPr>
        <w:spacing w:line="360" w:lineRule="auto"/>
        <w:ind w:firstLine="560" w:firstLineChars="200"/>
        <w:jc w:val="left"/>
        <w:rPr>
          <w:rFonts w:hint="default" w:asciiTheme="minorEastAsia" w:hAnsiTheme="minorEastAsia" w:eastAsiaTheme="minorEastAsia" w:cstheme="minorEastAsia"/>
          <w:sz w:val="28"/>
          <w:szCs w:val="28"/>
          <w:highlight w:val="none"/>
          <w:lang w:val="en-US"/>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sz w:val="28"/>
          <w:szCs w:val="28"/>
          <w:highlight w:val="none"/>
        </w:rPr>
        <w:t>承包人保证施工生活营地（包括自建的和租用的营地）满足消防、安全用电、卫生防疫、防暴雨、防雷击等方面的安全要求。</w:t>
      </w:r>
      <w:r>
        <w:rPr>
          <w:rFonts w:hint="eastAsia" w:asciiTheme="minorEastAsia" w:hAnsiTheme="minorEastAsia" w:eastAsiaTheme="minorEastAsia" w:cstheme="minorEastAsia"/>
          <w:sz w:val="28"/>
          <w:szCs w:val="28"/>
          <w:highlight w:val="none"/>
          <w:lang w:val="en-US" w:eastAsia="zh-CN"/>
        </w:rPr>
        <w:t>同时须满足11.3.4条款之要求。</w:t>
      </w:r>
    </w:p>
    <w:p w14:paraId="26A88AF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rPr>
        <w:t>承包人保证对带入现场的设备、工具、材料按照国家法规和标准进行检测、试验，并持有法定部门出具的检验证书。</w:t>
      </w:r>
    </w:p>
    <w:p w14:paraId="1C62E34D">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12.承包人进行电力施工作业时，必须确保施工安全，未经许可不开工，安全措施不落实不开工。在全部停电和部分停电的电气设备上工作，必须按规定做好停电、验电、挂接地线、装设遮拦和悬挂标示牌等保证安全的技术措施，必须设置监护人。停电施工完毕后，必须对现场进行全面的检查，确定施工人员已全部撤离，无任何遗留物件后，拆除所有的临时接地线。</w:t>
      </w:r>
    </w:p>
    <w:p w14:paraId="24427E0D">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13.承包人应按工程进展情况做好季节性施工的各项安全保证措施，夏季要切实做好防暑降温、防暴雨、防地灾等安全防护工作，秋冬季节要做好防火、防暴雪等安全防护工作。 </w:t>
      </w:r>
    </w:p>
    <w:p w14:paraId="725312D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四、接口及协调</w:t>
      </w:r>
    </w:p>
    <w:p w14:paraId="55C8119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发包人委托监理公司对该工程实施监理，监理公司在安全管理方面代表发包人行使监督检查职能，承包人必须给予配合和支持。</w:t>
      </w:r>
    </w:p>
    <w:p w14:paraId="0FBB01E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承包人人员、车辆的出入，带入现场的设备、机具、材料，在现场使用的或直接管理的办公、生活、生产性设施的安全管理须满足发包人现场管理的基本要求。</w:t>
      </w:r>
    </w:p>
    <w:p w14:paraId="0B8D6EC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承包人应指定专职安全管理人员与发包人委托的监理公司接口，参与安全协调和管理。安全协调和管理的内容包括职业健康、工业安全、消防安全、卫生防疫、交通安全、环境保护、治安保卫等各方面。</w:t>
      </w:r>
    </w:p>
    <w:p w14:paraId="2737A89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2F8C785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承包人指定的专职安全管理人员应与发包人委托的监理公司建立联系，在业务上接受发包人委托的监理公司的协调和指导。</w:t>
      </w:r>
    </w:p>
    <w:p w14:paraId="537B250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开工后承包人的专职安全管理人员应按照发包人委托的监理公司的规定，定期报送安全月度快报、季报、年报和各种专项事故报告等。</w:t>
      </w:r>
    </w:p>
    <w:p w14:paraId="2933639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在工程实体未全部正式移交发包人施工管理部门之前，承包人依旧对施工范围内的安全管理负责。</w:t>
      </w:r>
    </w:p>
    <w:p w14:paraId="218583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承包人负责在施工过程中与当地政府、周边群众及其他承包商保持良好的沟通和交流。承包人遇到与周边群众发生纠纷时，应负责协调工作，确保工程能够顺利进行。</w:t>
      </w:r>
    </w:p>
    <w:p w14:paraId="63757B6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五、安全资质审查</w:t>
      </w:r>
    </w:p>
    <w:p w14:paraId="108579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承包人在项目开工前5个工作天内向发包人委托的监理公司提供以下安全资质供审查和存档：</w:t>
      </w:r>
    </w:p>
    <w:p w14:paraId="6C88D728">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1.</w:t>
      </w:r>
      <w:r>
        <w:rPr>
          <w:rFonts w:hint="eastAsia" w:asciiTheme="minorEastAsia" w:hAnsiTheme="minorEastAsia" w:eastAsiaTheme="minorEastAsia" w:cstheme="minorEastAsia"/>
          <w:sz w:val="28"/>
          <w:szCs w:val="28"/>
          <w:highlight w:val="none"/>
          <w:lang w:val="en-US" w:eastAsia="zh-CN"/>
        </w:rPr>
        <w:t>承包人安全资质审查表。</w:t>
      </w:r>
    </w:p>
    <w:p w14:paraId="66DD7D64">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SA"/>
        </w:rPr>
        <w:t>2.安全资质证书，如</w:t>
      </w:r>
      <w:r>
        <w:rPr>
          <w:rFonts w:hint="eastAsia" w:asciiTheme="minorEastAsia" w:hAnsiTheme="minorEastAsia" w:eastAsiaTheme="minorEastAsia" w:cstheme="minorEastAsia"/>
          <w:sz w:val="28"/>
          <w:szCs w:val="28"/>
          <w:highlight w:val="none"/>
        </w:rPr>
        <w:t>企业安全生产许可证书复印件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职业安全健康管理体系认证证书等</w:t>
      </w:r>
      <w:r>
        <w:rPr>
          <w:rFonts w:hint="eastAsia" w:asciiTheme="minorEastAsia" w:hAnsiTheme="minorEastAsia" w:eastAsiaTheme="minorEastAsia" w:cstheme="minorEastAsia"/>
          <w:sz w:val="28"/>
          <w:szCs w:val="28"/>
          <w:highlight w:val="none"/>
        </w:rPr>
        <w:t>。</w:t>
      </w:r>
    </w:p>
    <w:p w14:paraId="1838626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企业近三年的施工简历及安全施工业绩证明文件</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包括事故发生率及原始记录、安全隐患治理情况档案等</w:t>
      </w:r>
      <w:r>
        <w:rPr>
          <w:rFonts w:hint="eastAsia" w:asciiTheme="minorEastAsia" w:hAnsiTheme="minorEastAsia" w:eastAsiaTheme="minorEastAsia" w:cstheme="minorEastAsia"/>
          <w:sz w:val="28"/>
          <w:szCs w:val="28"/>
          <w:highlight w:val="none"/>
        </w:rPr>
        <w:t>。</w:t>
      </w:r>
    </w:p>
    <w:p w14:paraId="06A1823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企业主要安全管理人员（包括</w:t>
      </w:r>
      <w:r>
        <w:rPr>
          <w:rFonts w:hint="eastAsia" w:asciiTheme="minorEastAsia" w:hAnsiTheme="minorEastAsia" w:eastAsiaTheme="minorEastAsia" w:cstheme="minorEastAsia"/>
          <w:sz w:val="28"/>
          <w:szCs w:val="28"/>
          <w:highlight w:val="none"/>
          <w:lang w:val="en-US" w:eastAsia="zh-CN"/>
        </w:rPr>
        <w:t>主要负责人、</w:t>
      </w:r>
      <w:r>
        <w:rPr>
          <w:rFonts w:hint="eastAsia" w:asciiTheme="minorEastAsia" w:hAnsiTheme="minorEastAsia" w:eastAsiaTheme="minorEastAsia" w:cstheme="minorEastAsia"/>
          <w:sz w:val="28"/>
          <w:szCs w:val="28"/>
          <w:highlight w:val="none"/>
        </w:rPr>
        <w:t>项目</w:t>
      </w:r>
      <w:r>
        <w:rPr>
          <w:rFonts w:hint="eastAsia" w:asciiTheme="minorEastAsia" w:hAnsiTheme="minorEastAsia" w:eastAsiaTheme="minorEastAsia" w:cstheme="minorEastAsia"/>
          <w:sz w:val="28"/>
          <w:szCs w:val="28"/>
          <w:highlight w:val="none"/>
          <w:lang w:val="en-US" w:eastAsia="zh-CN"/>
        </w:rPr>
        <w:t>负责人</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生产</w:t>
      </w:r>
      <w:r>
        <w:rPr>
          <w:rFonts w:hint="eastAsia" w:asciiTheme="minorEastAsia" w:hAnsiTheme="minorEastAsia" w:eastAsiaTheme="minorEastAsia" w:cstheme="minorEastAsia"/>
          <w:sz w:val="28"/>
          <w:szCs w:val="28"/>
          <w:highlight w:val="none"/>
        </w:rPr>
        <w:t>管理人员）经建设主管部门安全生产知识考核合格证书。</w:t>
      </w:r>
    </w:p>
    <w:p w14:paraId="4D0A8F2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特种作业人员资格证书。</w:t>
      </w:r>
    </w:p>
    <w:p w14:paraId="0FE173B0">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6.承包人须建立</w:t>
      </w:r>
      <w:r>
        <w:rPr>
          <w:rFonts w:hint="eastAsia" w:asciiTheme="minorEastAsia" w:hAnsiTheme="minorEastAsia" w:eastAsiaTheme="minorEastAsia" w:cstheme="minorEastAsia"/>
          <w:sz w:val="28"/>
          <w:szCs w:val="28"/>
          <w:highlight w:val="none"/>
        </w:rPr>
        <w:t>安全管理机构</w:t>
      </w:r>
      <w:r>
        <w:rPr>
          <w:rFonts w:hint="eastAsia" w:asciiTheme="minorEastAsia" w:hAnsiTheme="minorEastAsia" w:eastAsiaTheme="minorEastAsia" w:cstheme="minorEastAsia"/>
          <w:sz w:val="28"/>
          <w:szCs w:val="28"/>
          <w:highlight w:val="none"/>
          <w:lang w:val="en-US" w:eastAsia="zh-CN"/>
        </w:rPr>
        <w:t>并配备不少于相关法律规定比例的专职安全管理人员。</w:t>
      </w:r>
    </w:p>
    <w:p w14:paraId="6495ECA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适用于项目的安全管理体系及保证体系文件（安全管理大纲及管理程序文件）。</w:t>
      </w:r>
    </w:p>
    <w:p w14:paraId="4248CCC3">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六、人员基本素质</w:t>
      </w:r>
    </w:p>
    <w:p w14:paraId="649EC6BF">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承包人提供的人员必须满足下列要求：</w:t>
      </w:r>
    </w:p>
    <w:p w14:paraId="72CFD0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身体健康，无影响工作的精神疾病、无传染病和其他重大疾病；承包人需对其雇用的施工人员签发健康声明并保证其健康。其中体检证明材料（县级以上医院）和健康声明作为人员办理入场证件的必备材料。</w:t>
      </w:r>
    </w:p>
    <w:p w14:paraId="101646C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无刑事案件牵连。</w:t>
      </w:r>
    </w:p>
    <w:p w14:paraId="4FE356C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无吸毒、酗酒、赌博、嫖娼等恶习及违法行为。</w:t>
      </w:r>
    </w:p>
    <w:p w14:paraId="25766857">
      <w:pPr>
        <w:spacing w:line="360" w:lineRule="auto"/>
        <w:ind w:firstLine="560" w:firstLineChars="200"/>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七、劳动保护</w:t>
      </w:r>
      <w:r>
        <w:rPr>
          <w:rFonts w:hint="eastAsia" w:asciiTheme="minorEastAsia" w:hAnsiTheme="minorEastAsia" w:eastAsiaTheme="minorEastAsia" w:cstheme="minorEastAsia"/>
          <w:sz w:val="28"/>
          <w:szCs w:val="28"/>
          <w:highlight w:val="none"/>
          <w:lang w:val="en-US" w:eastAsia="zh-CN"/>
        </w:rPr>
        <w:t>用品</w:t>
      </w:r>
    </w:p>
    <w:p w14:paraId="7DFBE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承包人负责为本单位任何用工形式的员工（含分包商员工及劳务人员）</w:t>
      </w:r>
      <w:r>
        <w:rPr>
          <w:rFonts w:hint="eastAsia" w:asciiTheme="minorEastAsia" w:hAnsiTheme="minorEastAsia" w:eastAsiaTheme="minorEastAsia" w:cstheme="minorEastAsia"/>
          <w:sz w:val="28"/>
          <w:szCs w:val="28"/>
          <w:highlight w:val="none"/>
          <w:lang w:val="en-US" w:eastAsia="zh-CN"/>
        </w:rPr>
        <w:t>配备</w:t>
      </w:r>
      <w:r>
        <w:rPr>
          <w:rFonts w:hint="eastAsia" w:asciiTheme="minorEastAsia" w:hAnsiTheme="minorEastAsia" w:eastAsiaTheme="minorEastAsia" w:cstheme="minorEastAsia"/>
          <w:sz w:val="28"/>
          <w:szCs w:val="28"/>
          <w:highlight w:val="none"/>
        </w:rPr>
        <w:t>符合国家标准的有承包人和/或其下属分包商标志的个人劳动保护用品。个人劳动保护用品（包括工作服、安全帽、安全鞋等），不得以货币或者其他物品替代。</w:t>
      </w:r>
    </w:p>
    <w:p w14:paraId="2EDA58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承包人负责向特殊工种的员工提供特殊劳动保护</w:t>
      </w:r>
      <w:r>
        <w:rPr>
          <w:rFonts w:hint="eastAsia" w:asciiTheme="minorEastAsia" w:hAnsiTheme="minorEastAsia" w:eastAsiaTheme="minorEastAsia" w:cstheme="minorEastAsia"/>
          <w:sz w:val="28"/>
          <w:szCs w:val="28"/>
          <w:highlight w:val="none"/>
          <w:lang w:val="en-US" w:eastAsia="zh-CN"/>
        </w:rPr>
        <w:t>用品</w:t>
      </w:r>
      <w:r>
        <w:rPr>
          <w:rFonts w:hint="eastAsia" w:asciiTheme="minorEastAsia" w:hAnsiTheme="minorEastAsia" w:eastAsiaTheme="minorEastAsia" w:cstheme="minorEastAsia"/>
          <w:sz w:val="28"/>
          <w:szCs w:val="28"/>
          <w:highlight w:val="none"/>
        </w:rPr>
        <w:t>，否则不得从事特殊工种作业。</w:t>
      </w:r>
    </w:p>
    <w:p w14:paraId="4D0E12C9">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发包人委托的监理公司有权检查承包人乙方的个人劳动保护用品是否符合国家</w:t>
      </w:r>
      <w:r>
        <w:rPr>
          <w:rFonts w:hint="eastAsia" w:asciiTheme="minorEastAsia" w:hAnsiTheme="minorEastAsia" w:eastAsiaTheme="minorEastAsia" w:cstheme="minorEastAsia"/>
          <w:sz w:val="28"/>
          <w:szCs w:val="28"/>
          <w:highlight w:val="none"/>
          <w:lang w:val="en-US" w:eastAsia="zh-CN"/>
        </w:rPr>
        <w:t>或行业</w:t>
      </w:r>
      <w:r>
        <w:rPr>
          <w:rFonts w:hint="eastAsia" w:asciiTheme="minorEastAsia" w:hAnsiTheme="minorEastAsia" w:eastAsiaTheme="minorEastAsia" w:cstheme="minorEastAsia"/>
          <w:sz w:val="28"/>
          <w:szCs w:val="28"/>
          <w:highlight w:val="none"/>
        </w:rPr>
        <w:t>的相应标准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使用进口的劳动防护用品，其防护性能不得低于我国相关标准。</w:t>
      </w:r>
    </w:p>
    <w:p w14:paraId="7A9499B4">
      <w:pPr>
        <w:spacing w:line="360" w:lineRule="auto"/>
        <w:ind w:firstLine="560" w:firstLineChars="200"/>
        <w:jc w:val="left"/>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val="en-US" w:eastAsia="zh-CN"/>
        </w:rPr>
        <w:t>4.承包人应</w:t>
      </w:r>
      <w:r>
        <w:rPr>
          <w:rFonts w:hint="eastAsia" w:asciiTheme="minorEastAsia" w:hAnsiTheme="minorEastAsia" w:eastAsiaTheme="minorEastAsia" w:cstheme="minorEastAsia"/>
          <w:sz w:val="28"/>
          <w:szCs w:val="28"/>
          <w:highlight w:val="none"/>
        </w:rPr>
        <w:t>对</w:t>
      </w:r>
      <w:r>
        <w:rPr>
          <w:rFonts w:hint="eastAsia" w:asciiTheme="minorEastAsia" w:hAnsiTheme="minorEastAsia" w:eastAsiaTheme="minorEastAsia" w:cstheme="minorEastAsia"/>
          <w:sz w:val="28"/>
          <w:szCs w:val="28"/>
          <w:highlight w:val="none"/>
          <w:lang w:val="en-US" w:eastAsia="zh-CN"/>
        </w:rPr>
        <w:t>员工</w:t>
      </w:r>
      <w:r>
        <w:rPr>
          <w:rFonts w:hint="eastAsia" w:asciiTheme="minorEastAsia" w:hAnsiTheme="minorEastAsia" w:eastAsiaTheme="minorEastAsia" w:cstheme="minorEastAsia"/>
          <w:sz w:val="28"/>
          <w:szCs w:val="28"/>
          <w:highlight w:val="none"/>
        </w:rPr>
        <w:t>进行劳动防护用品的使用、维护等专业知识的培训</w:t>
      </w:r>
      <w:r>
        <w:rPr>
          <w:rFonts w:hint="eastAsia" w:asciiTheme="minorEastAsia" w:hAnsiTheme="minorEastAsia" w:eastAsiaTheme="minorEastAsia" w:cstheme="minorEastAsia"/>
          <w:sz w:val="28"/>
          <w:szCs w:val="28"/>
          <w:highlight w:val="none"/>
          <w:lang w:eastAsia="zh-CN"/>
        </w:rPr>
        <w:t>。</w:t>
      </w:r>
    </w:p>
    <w:p w14:paraId="1F86F568">
      <w:pPr>
        <w:keepNext w:val="0"/>
        <w:keepLines w:val="0"/>
        <w:widowControl/>
        <w:suppressLineNumbers w:val="0"/>
        <w:spacing w:line="360" w:lineRule="auto"/>
        <w:ind w:firstLine="560" w:firstLineChars="200"/>
        <w:jc w:val="left"/>
        <w:rPr>
          <w:highlight w:val="none"/>
        </w:rPr>
      </w:pPr>
      <w:r>
        <w:rPr>
          <w:rFonts w:hint="eastAsia" w:asciiTheme="minorEastAsia" w:hAnsiTheme="minorEastAsia" w:eastAsiaTheme="minorEastAsia" w:cstheme="minorEastAsia"/>
          <w:sz w:val="28"/>
          <w:szCs w:val="28"/>
          <w:highlight w:val="none"/>
          <w:lang w:val="en-US" w:eastAsia="zh-CN"/>
        </w:rPr>
        <w:t>5.承包人须督促和定期检查员工</w:t>
      </w:r>
      <w:r>
        <w:rPr>
          <w:rFonts w:hint="eastAsia" w:asciiTheme="minorEastAsia" w:hAnsiTheme="minorEastAsia" w:eastAsiaTheme="minorEastAsia" w:cstheme="minorEastAsia"/>
          <w:sz w:val="28"/>
          <w:szCs w:val="28"/>
          <w:highlight w:val="none"/>
        </w:rPr>
        <w:t>在作业过程中，</w:t>
      </w:r>
      <w:r>
        <w:rPr>
          <w:rFonts w:hint="eastAsia" w:asciiTheme="minorEastAsia" w:hAnsiTheme="minorEastAsia" w:eastAsiaTheme="minorEastAsia" w:cstheme="minorEastAsia"/>
          <w:sz w:val="28"/>
          <w:szCs w:val="28"/>
          <w:highlight w:val="none"/>
          <w:lang w:val="en-US" w:eastAsia="zh-CN"/>
        </w:rPr>
        <w:t>应</w:t>
      </w:r>
      <w:r>
        <w:rPr>
          <w:rFonts w:hint="eastAsia" w:asciiTheme="minorEastAsia" w:hAnsiTheme="minorEastAsia" w:eastAsiaTheme="minorEastAsia" w:cstheme="minorEastAsia"/>
          <w:sz w:val="28"/>
          <w:szCs w:val="28"/>
          <w:highlight w:val="none"/>
        </w:rPr>
        <w:t>按照规章制度和劳动防护用品使用规则，正确佩戴和使用劳动防护用品。</w:t>
      </w:r>
      <w:r>
        <w:rPr>
          <w:rFonts w:hint="eastAsia" w:asciiTheme="minorEastAsia" w:hAnsiTheme="minorEastAsia" w:eastAsiaTheme="minorEastAsia" w:cstheme="minorEastAsia"/>
          <w:kern w:val="2"/>
          <w:sz w:val="28"/>
          <w:szCs w:val="28"/>
          <w:highlight w:val="none"/>
          <w:lang w:val="en-US" w:eastAsia="zh-CN" w:bidi="ar"/>
        </w:rPr>
        <w:t xml:space="preserve">进场施工人员必须正确佩戴安全帽，全员穿着反光衣。严禁施工人员穿拖鞋、凉鞋、高跟鞋、短袖、短裤、漏洞牛仔裤进行作业。 </w:t>
      </w:r>
    </w:p>
    <w:p w14:paraId="4F62D4D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承包人在特殊风险场所作业而需要特殊防护用品或安全仪表时，必须在上述防护用品全部到位后才能开工。</w:t>
      </w:r>
    </w:p>
    <w:p w14:paraId="0EC65197">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7.承包人</w:t>
      </w:r>
      <w:r>
        <w:rPr>
          <w:rFonts w:hint="eastAsia" w:asciiTheme="minorEastAsia" w:hAnsiTheme="minorEastAsia" w:eastAsiaTheme="minorEastAsia" w:cstheme="minorEastAsia"/>
          <w:sz w:val="28"/>
          <w:szCs w:val="28"/>
          <w:highlight w:val="none"/>
        </w:rPr>
        <w:t>应当按照劳动防护用品发放周期定期发放，对工作过程中损坏的，应及时更换。</w:t>
      </w:r>
    </w:p>
    <w:p w14:paraId="391B4B6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八、施工机具与材料</w:t>
      </w:r>
    </w:p>
    <w:p w14:paraId="627AA4D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承包人对带入现场的施工机械和工器具的安全负责。</w:t>
      </w:r>
    </w:p>
    <w:p w14:paraId="0155D5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对于承包人带入现场的特殊工器具，如起重设备、索具、机动车辆、压缩气瓶等，承包人必须按国家法规和标准进行检测、试验，并持有法定部门出具的检验证书</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涉及使用特种设备的必须遵守《特种设备安全法》相关法律、法规规定。</w:t>
      </w:r>
    </w:p>
    <w:p w14:paraId="18CA1C2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对于不属于法定检测的工器具，承包人也必须建立相应的管理、检测制度，</w:t>
      </w:r>
      <w:r>
        <w:rPr>
          <w:rFonts w:hint="eastAsia" w:asciiTheme="minorEastAsia" w:hAnsiTheme="minorEastAsia" w:eastAsiaTheme="minorEastAsia" w:cstheme="minorEastAsia"/>
          <w:kern w:val="2"/>
          <w:sz w:val="28"/>
          <w:szCs w:val="28"/>
          <w:highlight w:val="none"/>
          <w:lang w:val="en-US" w:eastAsia="zh-CN" w:bidi="ar"/>
        </w:rPr>
        <w:t>按规定对施工所用的工器具和设备定期进行安全技术检验，不合格者严禁使用，每次使用前应进行外观检查与功能检测。</w:t>
      </w:r>
      <w:r>
        <w:rPr>
          <w:rFonts w:hint="eastAsia" w:asciiTheme="minorEastAsia" w:hAnsiTheme="minorEastAsia" w:eastAsiaTheme="minorEastAsia" w:cstheme="minorEastAsia"/>
          <w:sz w:val="28"/>
          <w:szCs w:val="28"/>
          <w:highlight w:val="none"/>
        </w:rPr>
        <w:t>这些工器具包括登高工具、脚手架材料、电动工具、安全防护设备及用具等。</w:t>
      </w:r>
    </w:p>
    <w:p w14:paraId="4F91858C">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八、安全设施及现场管理</w:t>
      </w:r>
    </w:p>
    <w:p w14:paraId="4C24B17E">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1.施工现场应设全封闭围挡，</w:t>
      </w:r>
      <w:r>
        <w:rPr>
          <w:rFonts w:hint="eastAsia" w:asciiTheme="minorEastAsia" w:hAnsiTheme="minorEastAsia" w:eastAsiaTheme="minorEastAsia" w:cstheme="minorEastAsia"/>
          <w:sz w:val="28"/>
          <w:szCs w:val="28"/>
          <w:highlight w:val="none"/>
          <w:lang w:bidi="ar"/>
        </w:rPr>
        <w:t>围挡挡板应使用钢结构或PVC材质，围挡高度不低于2.2米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围挡挡板必须用连接件牢固的安装在立柱上，不得使用铁丝绑接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围挡立柱之间间距不大于3米，立柱与地面之间必须安装牢固，不得未安装直接放置于地面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围挡墙应设有防风措施。至少每间隔3米设置一道钢管斜撑</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斜撑上端用连接件固定在挡板横杆上，底部用膨胀螺丝固定</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围挡施工完毕，板与板之间衔接平顺，要在一条直线上</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板与板之间不得留有可视缝隙</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即在场外不能看见场内施工</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围挡仅可设置一个出入口用于进出人员、设备和工器具。 出入口门根据施工方案采用单扇或双扇门板，门板材料与围挡相同。出入口门必须可以上锁</w:t>
      </w:r>
      <w:r>
        <w:rPr>
          <w:rFonts w:hint="eastAsia" w:asciiTheme="minorEastAsia" w:hAnsiTheme="minorEastAsia" w:eastAsiaTheme="minorEastAsia" w:cstheme="minorEastAsia"/>
          <w:sz w:val="28"/>
          <w:szCs w:val="28"/>
          <w:highlight w:val="none"/>
          <w:lang w:val="en-US" w:eastAsia="zh-CN" w:bidi="ar"/>
        </w:rPr>
        <w:t>并</w:t>
      </w:r>
      <w:r>
        <w:rPr>
          <w:rFonts w:hint="eastAsia" w:asciiTheme="minorEastAsia" w:hAnsiTheme="minorEastAsia" w:eastAsiaTheme="minorEastAsia" w:cstheme="minorEastAsia"/>
          <w:kern w:val="2"/>
          <w:sz w:val="28"/>
          <w:szCs w:val="28"/>
          <w:highlight w:val="none"/>
          <w:lang w:val="en-US" w:eastAsia="zh-CN" w:bidi="ar"/>
        </w:rPr>
        <w:t xml:space="preserve">悬挂警示牌。严禁无关人员进入现场。 </w:t>
      </w:r>
    </w:p>
    <w:p w14:paraId="64A92DAE">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2.施工现场必须按照国家、行业、地方标准针对施工场所及周边环境的危险源、风险点设置足够的</w:t>
      </w:r>
      <w:r>
        <w:rPr>
          <w:rFonts w:hint="eastAsia" w:asciiTheme="minorEastAsia" w:hAnsiTheme="minorEastAsia" w:eastAsiaTheme="minorEastAsia" w:cstheme="minorEastAsia"/>
          <w:sz w:val="28"/>
          <w:szCs w:val="28"/>
          <w:highlight w:val="none"/>
        </w:rPr>
        <w:t>安全</w:t>
      </w:r>
      <w:r>
        <w:rPr>
          <w:rFonts w:hint="eastAsia" w:asciiTheme="minorEastAsia" w:hAnsiTheme="minorEastAsia" w:eastAsiaTheme="minorEastAsia" w:cstheme="minorEastAsia"/>
          <w:sz w:val="28"/>
          <w:szCs w:val="28"/>
          <w:highlight w:val="none"/>
          <w:lang w:val="en-US" w:eastAsia="zh-CN"/>
        </w:rPr>
        <w:t>警示</w:t>
      </w:r>
      <w:r>
        <w:rPr>
          <w:rFonts w:hint="eastAsia" w:asciiTheme="minorEastAsia" w:hAnsiTheme="minorEastAsia" w:eastAsiaTheme="minorEastAsia" w:cstheme="minorEastAsia"/>
          <w:sz w:val="28"/>
          <w:szCs w:val="28"/>
          <w:highlight w:val="none"/>
        </w:rPr>
        <w:t>标志</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标志要与所警示的内容相吻合，设置位置要正确合理。包括但不限于</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图形符号安全色和安全标志 第5部分：安全标志使用原则与要求GB/T 2893.5-2020</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文件要求。</w:t>
      </w:r>
    </w:p>
    <w:p w14:paraId="3313FEA0">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 xml:space="preserve">3.承包人必须制定消防责任制，按规定在施工现场配备足够的消防器材。 </w:t>
      </w:r>
      <w:r>
        <w:rPr>
          <w:rFonts w:hint="eastAsia" w:asciiTheme="minorEastAsia" w:hAnsiTheme="minorEastAsia" w:eastAsiaTheme="minorEastAsia" w:cstheme="minorEastAsia"/>
          <w:sz w:val="28"/>
          <w:szCs w:val="28"/>
          <w:highlight w:val="none"/>
        </w:rPr>
        <w:t>进场前应根据《建设工程施工现场消防安全技术规范GB50720》要求，于施工现场每100m2配置一组5kg的ABC干粉灭火器，每组2具</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灭火器应放置于灭火器箱柜内，定期检查确保有效，灭火器箱柜附近应张贴“灭火器放置点”标识</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rPr>
        <w:t>灭火器箱柜应放置在施工场地出入口附近，灭火器箱柜附近不得堆放工具、物料等物品，防止遮挡或火焰阻隔灭火器箱柜</w:t>
      </w:r>
      <w:r>
        <w:rPr>
          <w:rFonts w:hint="eastAsia" w:asciiTheme="minorEastAsia" w:hAnsiTheme="minorEastAsia" w:eastAsiaTheme="minorEastAsia" w:cstheme="minorEastAsia"/>
          <w:sz w:val="28"/>
          <w:szCs w:val="28"/>
          <w:highlight w:val="none"/>
          <w:lang w:eastAsia="zh-CN"/>
        </w:rPr>
        <w:t>。</w:t>
      </w:r>
    </w:p>
    <w:p w14:paraId="6E82CD93">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
        </w:rPr>
        <w:t>4.每日施工结束，施工人员应将</w:t>
      </w:r>
      <w:r>
        <w:rPr>
          <w:rFonts w:hint="eastAsia" w:asciiTheme="minorEastAsia" w:hAnsiTheme="minorEastAsia" w:eastAsiaTheme="minorEastAsia" w:cstheme="minorEastAsia"/>
          <w:color w:val="auto"/>
          <w:kern w:val="2"/>
          <w:sz w:val="28"/>
          <w:szCs w:val="28"/>
          <w:highlight w:val="none"/>
          <w:lang w:val="en-US" w:eastAsia="zh-CN" w:bidi="ar"/>
        </w:rPr>
        <w:t>施工场地出入口上锁，防止无关人员进入。</w:t>
      </w:r>
    </w:p>
    <w:p w14:paraId="352DC63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九、开工前安全条件检查</w:t>
      </w:r>
    </w:p>
    <w:p w14:paraId="04B77C2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04D9A3F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4159070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发包人委托的监理公司检查发现的缺陷，承包人应在规定期限内完成整改。对于重大缺陷，发包人委托的监理公司有权要求承包人推迟开工，由此对工期产生的影响或经济损失，由承包人承担。</w:t>
      </w:r>
    </w:p>
    <w:p w14:paraId="5248B7D2">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十、安全监督</w:t>
      </w:r>
    </w:p>
    <w:p w14:paraId="132F3E0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承包人应配备有满足项目安全管理需要的专职安全管理人员。</w:t>
      </w:r>
    </w:p>
    <w:p w14:paraId="31E085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承包人的专职安全管理人员必须持建设主管部门颁发的安全生产知识考核合格证书。</w:t>
      </w:r>
    </w:p>
    <w:p w14:paraId="6F08612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承包人的专职安全管理人员在业务上接受发包人委托的监理公司和发包人安全管理部门的协调和指导。</w:t>
      </w:r>
    </w:p>
    <w:p w14:paraId="07064EC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承包人应建立班前安全交底制度；施工期间坚持开展安全检查和日常安全监督并形成相应的记录。</w:t>
      </w:r>
    </w:p>
    <w:p w14:paraId="617F29F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承包人应在每个作业区任命兼职安全员，赋予兼职安全员相应的授权和义务，并对兼职安全员进行定期考核。</w:t>
      </w:r>
    </w:p>
    <w:p w14:paraId="2D735BE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承包人应接受和配合发包人专业部门及委托的监理公司的监督与安全评价。</w:t>
      </w:r>
    </w:p>
    <w:p w14:paraId="091CC2A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发包人和委托的监理公司有权对承包人履行安全管理协议的情况进行监督，并有权对违章行为实行停工和处罚，处罚情况将通知承包人。涉及经济处罚时将直接通知合同管理部门从合同结算中扣除。</w:t>
      </w:r>
    </w:p>
    <w:p w14:paraId="278926C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十一、安全培训与授权</w:t>
      </w:r>
    </w:p>
    <w:p w14:paraId="1AC2FC7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承包人所有特殊工种</w:t>
      </w:r>
      <w:r>
        <w:rPr>
          <w:rFonts w:hint="eastAsia" w:asciiTheme="minorEastAsia" w:hAnsiTheme="minorEastAsia" w:eastAsiaTheme="minorEastAsia" w:cstheme="minorEastAsia"/>
          <w:sz w:val="28"/>
          <w:szCs w:val="28"/>
          <w:highlight w:val="none"/>
          <w:lang w:val="en-US" w:eastAsia="zh-CN"/>
        </w:rPr>
        <w:t>及特种作业</w:t>
      </w:r>
      <w:r>
        <w:rPr>
          <w:rFonts w:hint="eastAsia" w:asciiTheme="minorEastAsia" w:hAnsiTheme="minorEastAsia" w:eastAsiaTheme="minorEastAsia" w:cstheme="minorEastAsia"/>
          <w:sz w:val="28"/>
          <w:szCs w:val="28"/>
          <w:highlight w:val="none"/>
        </w:rPr>
        <w:t>人员必须持证上岗，</w:t>
      </w:r>
      <w:r>
        <w:rPr>
          <w:rFonts w:hint="eastAsia" w:asciiTheme="minorEastAsia" w:hAnsiTheme="minorEastAsia" w:eastAsiaTheme="minorEastAsia" w:cstheme="minorEastAsia"/>
          <w:color w:val="auto"/>
          <w:sz w:val="28"/>
          <w:szCs w:val="28"/>
          <w:highlight w:val="none"/>
          <w:lang w:val="en-US" w:eastAsia="zh-CN"/>
        </w:rPr>
        <w:t>人证一致，</w:t>
      </w:r>
      <w:r>
        <w:rPr>
          <w:rFonts w:hint="eastAsia" w:asciiTheme="minorEastAsia" w:hAnsiTheme="minorEastAsia" w:eastAsiaTheme="minorEastAsia" w:cstheme="minorEastAsia"/>
          <w:sz w:val="28"/>
          <w:szCs w:val="28"/>
          <w:highlight w:val="none"/>
        </w:rPr>
        <w:t>发包人和发包人委托的监理公司有权对其进行抽查。承包人要建立特殊工种定期培训和检查计划，这些工种包括但不限于：机动车驾驶员、焊工、起重工、电工等。</w:t>
      </w:r>
    </w:p>
    <w:p w14:paraId="1EFB444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承包人应在特殊工种之外的其他工种中，筛选出高风险工种，并对其开展针对性的专题安全培训。</w:t>
      </w:r>
    </w:p>
    <w:p w14:paraId="773D41C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承包人应组织 “入场培训”和考核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入场作业前应对所有</w:t>
      </w:r>
      <w:r>
        <w:rPr>
          <w:rFonts w:hint="eastAsia" w:asciiTheme="minorEastAsia" w:hAnsiTheme="minorEastAsia" w:eastAsiaTheme="minorEastAsia" w:cstheme="minorEastAsia"/>
          <w:kern w:val="2"/>
          <w:sz w:val="28"/>
          <w:szCs w:val="28"/>
          <w:highlight w:val="none"/>
          <w:lang w:val="en-US" w:eastAsia="zh-CN" w:bidi="ar"/>
        </w:rPr>
        <w:t>作业人员进行安全、环保、文明施工相关教育培训和安全技术交底。接受安全教育培训和安全技术交底的人员必须与现场施工人员一致。未进行安全技术交底或培训不合格的人员不得进行施工作业。</w:t>
      </w:r>
      <w:r>
        <w:rPr>
          <w:rFonts w:hint="eastAsia" w:asciiTheme="minorEastAsia" w:hAnsiTheme="minorEastAsia" w:eastAsiaTheme="minorEastAsia" w:cstheme="minorEastAsia"/>
          <w:sz w:val="28"/>
          <w:szCs w:val="28"/>
          <w:highlight w:val="none"/>
        </w:rPr>
        <w:t>发包人委托的监理公司有权监督培训、</w:t>
      </w:r>
      <w:r>
        <w:rPr>
          <w:rFonts w:hint="eastAsia" w:asciiTheme="minorEastAsia" w:hAnsiTheme="minorEastAsia" w:eastAsiaTheme="minorEastAsia" w:cstheme="minorEastAsia"/>
          <w:sz w:val="28"/>
          <w:szCs w:val="28"/>
          <w:highlight w:val="none"/>
          <w:lang w:val="en-US" w:eastAsia="zh-CN"/>
        </w:rPr>
        <w:t>安全交底、</w:t>
      </w:r>
      <w:r>
        <w:rPr>
          <w:rFonts w:hint="eastAsia" w:asciiTheme="minorEastAsia" w:hAnsiTheme="minorEastAsia" w:eastAsiaTheme="minorEastAsia" w:cstheme="minorEastAsia"/>
          <w:sz w:val="28"/>
          <w:szCs w:val="28"/>
          <w:highlight w:val="none"/>
        </w:rPr>
        <w:t>考核情况或组织抽查考核。</w:t>
      </w:r>
    </w:p>
    <w:p w14:paraId="157C2E32">
      <w:pPr>
        <w:spacing w:line="360" w:lineRule="auto"/>
        <w:ind w:firstLine="560" w:firstLineChars="200"/>
        <w:jc w:val="left"/>
        <w:rPr>
          <w:rFonts w:hint="default" w:asciiTheme="minorEastAsia" w:hAnsiTheme="minorEastAsia" w:eastAsiaTheme="minorEastAsia" w:cstheme="minorEastAsia"/>
          <w:color w:val="FF0000"/>
          <w:sz w:val="28"/>
          <w:szCs w:val="28"/>
          <w:highlight w:val="none"/>
        </w:rPr>
      </w:pPr>
      <w:r>
        <w:rPr>
          <w:rFonts w:hint="eastAsia" w:asciiTheme="minorEastAsia" w:hAnsiTheme="minorEastAsia" w:eastAsiaTheme="minorEastAsia" w:cstheme="minorEastAsia"/>
          <w:sz w:val="28"/>
          <w:szCs w:val="28"/>
          <w:highlight w:val="none"/>
        </w:rPr>
        <w:t>4</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承包人应建立安全培训和考核机制，编制培训教材和培训滚动计划。承包人应组织安全考试/考核，建立培训考核记录，发包人委托的监理公司有权查看这些记录。</w:t>
      </w:r>
    </w:p>
    <w:p w14:paraId="6D1A0D95">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十二、职业健康与卫生防疫</w:t>
      </w:r>
    </w:p>
    <w:p w14:paraId="62E74B9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承包人应有特殊健康检查制度，预防有禁忌症患者从事有关职业，如恐高症患者不得从事高空作业，患有心血管疾病的人员不得从事繁重的体力劳动，特殊工种人员的体检应符合国家的规定。</w:t>
      </w:r>
    </w:p>
    <w:p w14:paraId="1CEF8B71">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承包人应保证卫生防疫基本设施的投入，以满足医疗、急救的要求，建立外部医疗支持渠道。</w:t>
      </w:r>
    </w:p>
    <w:p w14:paraId="24B71C4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26CA36ED">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十三、文明施工与环保要求</w:t>
      </w:r>
    </w:p>
    <w:p w14:paraId="7C24D866">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kern w:val="2"/>
          <w:sz w:val="28"/>
          <w:szCs w:val="28"/>
          <w:highlight w:val="none"/>
          <w:lang w:val="en-US" w:eastAsia="zh-CN" w:bidi="ar"/>
        </w:rPr>
        <w:t>承包人应严格执行《安全文明施工管理暂行办法》文件要求和遵守发包人和场地方关于安全环保、文明施工等内容的各项制度和要求，做好安全文明施工和环境保护工作，。并定期进行安全、环保、文明施工检查，及时整改问题和隐患。</w:t>
      </w:r>
    </w:p>
    <w:p w14:paraId="23E205E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2"/>
          <w:sz w:val="28"/>
          <w:szCs w:val="28"/>
          <w:highlight w:val="none"/>
          <w:lang w:val="en-US" w:eastAsia="zh-CN" w:bidi="ar"/>
        </w:rPr>
        <w:t>2.</w:t>
      </w:r>
      <w:r>
        <w:rPr>
          <w:rFonts w:hint="eastAsia" w:asciiTheme="minorEastAsia" w:hAnsiTheme="minorEastAsia" w:eastAsiaTheme="minorEastAsia" w:cstheme="minorEastAsia"/>
          <w:sz w:val="28"/>
          <w:szCs w:val="28"/>
          <w:highlight w:val="none"/>
        </w:rPr>
        <w:t>承包人需制订施工现场的文明施工措施，保持良好的施工现场秩序。施工现场的物料堆放要摆放整齐，宣传标志要</w:t>
      </w:r>
      <w:r>
        <w:rPr>
          <w:rFonts w:hint="eastAsia" w:asciiTheme="minorEastAsia" w:hAnsiTheme="minorEastAsia" w:eastAsiaTheme="minorEastAsia" w:cstheme="minorEastAsia"/>
          <w:sz w:val="28"/>
          <w:szCs w:val="28"/>
          <w:highlight w:val="none"/>
          <w:lang w:val="en-US" w:eastAsia="zh-CN"/>
        </w:rPr>
        <w:t>清晰</w:t>
      </w:r>
      <w:r>
        <w:rPr>
          <w:rFonts w:hint="eastAsia" w:asciiTheme="minorEastAsia" w:hAnsiTheme="minorEastAsia" w:eastAsiaTheme="minorEastAsia" w:cstheme="minorEastAsia"/>
          <w:sz w:val="28"/>
          <w:szCs w:val="28"/>
          <w:highlight w:val="none"/>
        </w:rPr>
        <w:t>醒目，废料、废物要分类收集，安全通道要畅通。</w:t>
      </w:r>
    </w:p>
    <w:p w14:paraId="32B18B9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rPr>
        <w:t>承包人作业时应避免建筑材料抛洒、飞扬、流淌</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kern w:val="2"/>
          <w:sz w:val="28"/>
          <w:szCs w:val="28"/>
          <w:highlight w:val="none"/>
          <w:lang w:val="en-US" w:eastAsia="zh-CN" w:bidi="ar"/>
        </w:rPr>
        <w:t>现场工程设备材料堆放整齐、布置合理，</w:t>
      </w:r>
      <w:r>
        <w:rPr>
          <w:rFonts w:hint="eastAsia" w:asciiTheme="minorEastAsia" w:hAnsiTheme="minorEastAsia" w:eastAsiaTheme="minorEastAsia" w:cstheme="minorEastAsia"/>
          <w:color w:val="auto"/>
          <w:kern w:val="2"/>
          <w:sz w:val="28"/>
          <w:szCs w:val="28"/>
          <w:highlight w:val="none"/>
          <w:lang w:val="en-US" w:eastAsia="zh-CN" w:bidi="ar"/>
        </w:rPr>
        <w:t>各种物资标识清楚，排放有序，并符合安全防火标准。</w:t>
      </w:r>
      <w:r>
        <w:rPr>
          <w:rFonts w:hint="eastAsia" w:asciiTheme="minorEastAsia" w:hAnsiTheme="minorEastAsia" w:eastAsiaTheme="minorEastAsia" w:cstheme="minorEastAsia"/>
          <w:sz w:val="28"/>
          <w:szCs w:val="28"/>
          <w:highlight w:val="none"/>
        </w:rPr>
        <w:t>；应尽可能降低噪音、震动。</w:t>
      </w:r>
    </w:p>
    <w:p w14:paraId="568F74AA">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4.</w:t>
      </w:r>
      <w:r>
        <w:rPr>
          <w:rFonts w:hint="eastAsia" w:asciiTheme="minorEastAsia" w:hAnsiTheme="minorEastAsia" w:eastAsiaTheme="minorEastAsia" w:cstheme="minorEastAsia"/>
          <w:sz w:val="28"/>
          <w:szCs w:val="28"/>
          <w:highlight w:val="none"/>
        </w:rPr>
        <w:t>承包人应根据实际需要，在施工现场布置临时卫生设施（洗手间、卫生间等），施工作业不破坏环境卫生，不污染现场环境。</w:t>
      </w:r>
    </w:p>
    <w:p w14:paraId="4E4691D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5.</w:t>
      </w:r>
      <w:r>
        <w:rPr>
          <w:rFonts w:hint="eastAsia" w:asciiTheme="minorEastAsia" w:hAnsiTheme="minorEastAsia" w:eastAsiaTheme="minorEastAsia" w:cstheme="minorEastAsia"/>
          <w:sz w:val="28"/>
          <w:szCs w:val="28"/>
          <w:highlight w:val="none"/>
        </w:rPr>
        <w:t>承包人在施工中应充分重视对环境的保护，保护绿色植被，保护古树。施工如需伤害古树，必须报告发包人委托的监理公司，在未得到指令前，禁止擅自伤害古树。</w:t>
      </w:r>
    </w:p>
    <w:p w14:paraId="7E56091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6.</w:t>
      </w:r>
      <w:r>
        <w:rPr>
          <w:rFonts w:hint="eastAsia" w:asciiTheme="minorEastAsia" w:hAnsiTheme="minorEastAsia" w:eastAsiaTheme="minorEastAsia" w:cstheme="minorEastAsia"/>
          <w:sz w:val="28"/>
          <w:szCs w:val="28"/>
          <w:highlight w:val="none"/>
        </w:rPr>
        <w:t>承包人应及时清理现场废物和垃圾。工业废料与生活垃圾必须分开，有害废物与普通废物必须分开（如油品废物、电池灯管等，必须单独收集、存放）；禁止在非指定场所乱倒、乱堆垃圾。禁止违章处理危险化学品和工业垃圾。</w:t>
      </w:r>
      <w:r>
        <w:rPr>
          <w:rFonts w:hint="eastAsia" w:asciiTheme="minorEastAsia" w:hAnsiTheme="minorEastAsia" w:eastAsiaTheme="minorEastAsia" w:cstheme="minorEastAsia"/>
          <w:kern w:val="2"/>
          <w:sz w:val="28"/>
          <w:szCs w:val="28"/>
          <w:highlight w:val="none"/>
          <w:lang w:val="en-US" w:eastAsia="zh-CN" w:bidi="ar"/>
        </w:rPr>
        <w:t xml:space="preserve">施工结束时应及时清场，做到工完、料尽、场地清。 </w:t>
      </w:r>
    </w:p>
    <w:p w14:paraId="66811C6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7.</w:t>
      </w:r>
      <w:r>
        <w:rPr>
          <w:rFonts w:hint="eastAsia" w:asciiTheme="minorEastAsia" w:hAnsiTheme="minorEastAsia" w:eastAsiaTheme="minorEastAsia" w:cstheme="minorEastAsia"/>
          <w:sz w:val="28"/>
          <w:szCs w:val="28"/>
          <w:highlight w:val="none"/>
        </w:rPr>
        <w:t>承包人在施工中应禁止向环境，排放工业污水、生活污水、废油或其他有害物质。</w:t>
      </w:r>
    </w:p>
    <w:p w14:paraId="7621E85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8.</w:t>
      </w:r>
      <w:r>
        <w:rPr>
          <w:rFonts w:hint="eastAsia" w:asciiTheme="minorEastAsia" w:hAnsiTheme="minorEastAsia" w:eastAsiaTheme="minorEastAsia" w:cstheme="minorEastAsia"/>
          <w:sz w:val="28"/>
          <w:szCs w:val="28"/>
          <w:highlight w:val="none"/>
        </w:rPr>
        <w:t>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0D9CAEC8">
      <w:pPr>
        <w:spacing w:line="360" w:lineRule="auto"/>
        <w:ind w:firstLine="560" w:firstLineChars="200"/>
        <w:jc w:val="left"/>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color w:val="auto"/>
          <w:kern w:val="2"/>
          <w:sz w:val="28"/>
          <w:szCs w:val="28"/>
          <w:highlight w:val="none"/>
          <w:lang w:val="en-US" w:eastAsia="zh-CN" w:bidi="ar"/>
        </w:rPr>
        <w:t xml:space="preserve">承包人应确保施工场地内的泥浆、沙土不带至施工场地外。施工现场严格控制“扬尘”，施工场地内不得焚烧废物。夜间施工必须在项目所在地建设行政主管部门办理夜间施工许可证，得到许可后方可开展夜间施工作业。 </w:t>
      </w:r>
    </w:p>
    <w:p w14:paraId="57E74F07">
      <w:p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sz w:val="28"/>
          <w:szCs w:val="28"/>
          <w:highlight w:val="none"/>
          <w:lang w:val="en-US" w:eastAsia="zh-CN"/>
        </w:rPr>
        <w:t>10.</w:t>
      </w:r>
      <w:r>
        <w:rPr>
          <w:rFonts w:hint="eastAsia" w:asciiTheme="minorEastAsia" w:hAnsiTheme="minorEastAsia" w:eastAsiaTheme="minorEastAsia" w:cstheme="minorEastAsia"/>
          <w:kern w:val="2"/>
          <w:sz w:val="28"/>
          <w:szCs w:val="28"/>
          <w:highlight w:val="none"/>
          <w:lang w:val="en-US" w:eastAsia="zh-CN" w:bidi="ar"/>
        </w:rPr>
        <w:t>严禁在施工现场吸烟，严禁酒后进入施工现场。</w:t>
      </w:r>
    </w:p>
    <w:p w14:paraId="7ED06CE6">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十四、工程风险管理与事故预防</w:t>
      </w:r>
    </w:p>
    <w:p w14:paraId="0F1B07C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（一）基本要求</w:t>
      </w:r>
    </w:p>
    <w:p w14:paraId="0F6CB5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承包人应对施工过程进行全面、深入的危险源识别和风险分析。在施工安全组织设计中提供危险源及重要危险源清单、作业风险分析报告，该报告应包括（但不限于）如下信息：</w:t>
      </w:r>
    </w:p>
    <w:p w14:paraId="7C097C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（1）高风险作业和工种清单：作业名称、类别和数量、主要事故风险。</w:t>
      </w:r>
    </w:p>
    <w:p w14:paraId="0E711C9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（2）施工能源和机械的种类、数量和主要事故风险。</w:t>
      </w:r>
    </w:p>
    <w:p w14:paraId="28138B4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（3）施工作业条件的类型和主要事故风险。</w:t>
      </w:r>
    </w:p>
    <w:p w14:paraId="1408CAC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（4）主要工艺过程（或施工活动）的类别及其相关的事故风险。</w:t>
      </w:r>
    </w:p>
    <w:p w14:paraId="25D53A5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（5）主要火灾危险（可燃物、点火源）。</w:t>
      </w:r>
    </w:p>
    <w:p w14:paraId="290E275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（6）主要自然灾害（洪水、大风、雷暴、暴雨、地质灾害等）。</w:t>
      </w:r>
    </w:p>
    <w:p w14:paraId="620B5E5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（7）主要环境保护事件（有害垃圾、机械的跑冒滴漏、原材料流失、水土流失等）。</w:t>
      </w:r>
    </w:p>
    <w:p w14:paraId="4D79C18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（8）其他。</w:t>
      </w:r>
    </w:p>
    <w:p w14:paraId="6F639683">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承包人应针对识别出的危险源制定有针对性的事故预防措施并确保在施工中得到有效落实。</w:t>
      </w:r>
    </w:p>
    <w:p w14:paraId="44C04898">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承包人应建立日常施工活动的动态作业风险分析和安全交底制度。该制度应明确规定风险分析的方法、责任和交底的内容、时间及记录。</w:t>
      </w:r>
    </w:p>
    <w:p w14:paraId="2ED83E4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（二）现场作业基本安全条件</w:t>
      </w:r>
    </w:p>
    <w:p w14:paraId="357F571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5C840E59">
      <w:pPr>
        <w:numPr>
          <w:ilvl w:val="0"/>
          <w:numId w:val="0"/>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bidi="ar-SA"/>
        </w:rPr>
        <w:t>十五、</w:t>
      </w:r>
      <w:r>
        <w:rPr>
          <w:rFonts w:hint="eastAsia" w:asciiTheme="minorEastAsia" w:hAnsiTheme="minorEastAsia" w:eastAsiaTheme="minorEastAsia" w:cstheme="minorEastAsia"/>
          <w:sz w:val="28"/>
          <w:szCs w:val="28"/>
          <w:highlight w:val="none"/>
          <w:lang w:val="en-US" w:eastAsia="zh-CN"/>
        </w:rPr>
        <w:t>危险作业</w:t>
      </w:r>
    </w:p>
    <w:p w14:paraId="457C2231">
      <w:pPr>
        <w:numPr>
          <w:ilvl w:val="-1"/>
          <w:numId w:val="0"/>
        </w:numPr>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1.承包人应结合本工程特点和现场实际情况编制可靠、适用的施工技术安全措施。起重吊装、动火作业、电工作业、高处作业、有限空间作业等特殊作业项目，必须编制专项施工技术安全方案。作业前办理对应的作业许可证，布置落实各项特种作业所需的安全保护措施后，方可按照操作规程开展特殊作业工作。</w:t>
      </w:r>
    </w:p>
    <w:p w14:paraId="5F51D269">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2.施工用电应有专人负责维护和管理，施工用电设施必须符合《建设工程施工现场供用电安全规范》和《施工现场临时用电安全技术规范》的有关规定，按规定使用漏电保护器，各种电动工机具应按规定采用可靠的接地（接零）保护。施工临时用电设施应有专人负责运行维护。严禁非电气专业人员拆装用电设备。所有电动工、机具应按规定可靠接地。绝缘工具应定期进行试验。</w:t>
      </w:r>
      <w:r>
        <w:rPr>
          <w:rFonts w:hint="eastAsia" w:asciiTheme="minorEastAsia" w:hAnsiTheme="minorEastAsia" w:eastAsiaTheme="minorEastAsia" w:cstheme="minorEastAsia"/>
          <w:sz w:val="28"/>
          <w:szCs w:val="28"/>
          <w:highlight w:val="none"/>
          <w:lang w:bidi="ar"/>
        </w:rPr>
        <w:t>移动式配电箱、开关箱应装设在坚固、稳定的支架上，其中心点与地面的垂直距离不得 小于0.8米</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 xml:space="preserve">移动式配电箱、开关箱前方预留不少于1米的空间，不得堆放任何妨碍操作、维修的物品，不得有灌木、杂草。 </w:t>
      </w:r>
      <w:r>
        <w:rPr>
          <w:rFonts w:hint="eastAsia" w:asciiTheme="minorEastAsia" w:hAnsiTheme="minorEastAsia" w:eastAsiaTheme="minorEastAsia" w:cstheme="minorEastAsia"/>
          <w:kern w:val="2"/>
          <w:sz w:val="28"/>
          <w:szCs w:val="28"/>
          <w:highlight w:val="none"/>
          <w:lang w:val="en-US" w:eastAsia="zh-CN" w:bidi="ar"/>
        </w:rPr>
        <w:t xml:space="preserve">电源箱设置应符合“一机、一闸、 一保护”要求。 </w:t>
      </w:r>
    </w:p>
    <w:p w14:paraId="3C04BF90">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3.承包人应加强监督进行高空作业人员应按要求使用安全带、安全绳等安全工器具，</w:t>
      </w:r>
      <w:r>
        <w:rPr>
          <w:rFonts w:hint="eastAsia" w:asciiTheme="minorEastAsia" w:hAnsiTheme="minorEastAsia" w:eastAsiaTheme="minorEastAsia" w:cstheme="minorEastAsia"/>
          <w:sz w:val="28"/>
          <w:szCs w:val="28"/>
          <w:highlight w:val="none"/>
          <w:lang w:bidi="ar"/>
        </w:rPr>
        <w:t>安全带的安全绳应挂在上方的牢固可靠处，当高处有焊接作业时应采取措施防止安全绳（带）损坏。高处作业人员应衣着灵便，衣袖、裤脚应扎紧，穿软底鞋，在作业过程中，高处作业人员应随时检查安全带是否拴牢</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在转移作业位置时不得失去保护，高处作业应设安全监护人。高处作业需使用脚手架时，脚手架必须经</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审查，其符合《施工脚手架通用规范GB 55023》的各项相关规定后，方可投入使用。</w:t>
      </w:r>
      <w:r>
        <w:rPr>
          <w:rFonts w:hint="eastAsia" w:asciiTheme="minorEastAsia" w:hAnsiTheme="minorEastAsia" w:eastAsiaTheme="minorEastAsia" w:cstheme="minorEastAsia"/>
          <w:kern w:val="2"/>
          <w:sz w:val="28"/>
          <w:szCs w:val="28"/>
          <w:highlight w:val="none"/>
          <w:lang w:val="en-US" w:eastAsia="zh-CN" w:bidi="ar"/>
        </w:rPr>
        <w:t xml:space="preserve"> </w:t>
      </w:r>
    </w:p>
    <w:p w14:paraId="7AB8FE9C">
      <w:pPr>
        <w:widowControl/>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4.承包人进行吊车、起重机进行作业时，必须符</w:t>
      </w:r>
      <w:r>
        <w:rPr>
          <w:rFonts w:hint="eastAsia" w:asciiTheme="minorEastAsia" w:hAnsiTheme="minorEastAsia" w:eastAsiaTheme="minorEastAsia" w:cstheme="minorEastAsia"/>
          <w:sz w:val="28"/>
          <w:szCs w:val="28"/>
          <w:highlight w:val="none"/>
          <w:lang w:bidi="ar"/>
        </w:rPr>
        <w:t>合JGJ 276《建筑施工起重吊装工程安全技术规范JGJ 276》的各项相关要求</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kern w:val="2"/>
          <w:sz w:val="28"/>
          <w:szCs w:val="28"/>
          <w:highlight w:val="none"/>
          <w:lang w:val="en-US" w:eastAsia="zh-CN" w:bidi="ar"/>
        </w:rPr>
        <w:t>应有专人在现场监护。起重工作要有专人指挥，起重臂下和重物下方严禁人员停留或走动。使用吊车时，要支放稳妥，注意起重臂运动上方是否有障碍物，尤其应注意有无带电设备或导线，确保安全距离符合规范要求，严格遵守起重吊装作业“十不吊”要求。</w:t>
      </w:r>
    </w:p>
    <w:p w14:paraId="34BF449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 xml:space="preserve">5.承包人进行焊接、切割等动火作业时，必须有专人监护，配置足够的消防器材。电焊机、切割机等动火作业工器具，必须经过施工单位审查，其符合国家、行业、地方标准的各项规定，方可投入使用。严禁使用非国标工器具或使用民用产品代替专业工器具。动火作业附近不应有易燃可燃的物品。动火作业人员应配备防护服、护目镜、防护面罩、焊接手套等保护措施。可能产生火花溅射的切割、焊接等作业，应使用阻燃板材进行遮挡。动火作业结束后动火作业人员和监护人员应清理现场，确认无残留火种后方可离开。电焊、气割等作业，严格遵守“十不烧”规程操作：1）未取焊工特殊工种操作证不能烧。2）要害部门和重要场所未经批准不烧。3）不了解焊接地点周围情况不烧。4）不了解焊接物内部情况不烧。5）装过易燃易爆物品的容器不烧。6）可用燃料材料作保温隔音的部位不烧。7）密闭和有压力的容器管道不烧。8）焊接部位旁有易燃易爆物品不烧。9）附近有明火作业相抵触的作业不烧。10）禁火区内未办理动火审批手续不烧。 </w:t>
      </w:r>
    </w:p>
    <w:p w14:paraId="1A46305C">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kern w:val="2"/>
          <w:sz w:val="28"/>
          <w:szCs w:val="28"/>
          <w:highlight w:val="none"/>
          <w:lang w:val="en-US" w:eastAsia="zh-CN" w:bidi="ar"/>
        </w:rPr>
        <w:t>6.承包人进行有限空间作业时，必须有专人监护。有限空间工作严格按照“先通风、再检测、后作业”的程序，未检测或监测未达标前严禁进入作业空间。</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必须</w:t>
      </w:r>
      <w:r>
        <w:rPr>
          <w:rFonts w:hint="eastAsia" w:asciiTheme="minorEastAsia" w:hAnsiTheme="minorEastAsia" w:eastAsiaTheme="minorEastAsia" w:cstheme="minorEastAsia"/>
          <w:sz w:val="28"/>
          <w:szCs w:val="28"/>
          <w:highlight w:val="none"/>
          <w:lang w:val="en-US" w:eastAsia="zh-CN" w:bidi="ar"/>
        </w:rPr>
        <w:t>为操作人员</w:t>
      </w:r>
      <w:r>
        <w:rPr>
          <w:rFonts w:hint="eastAsia" w:asciiTheme="minorEastAsia" w:hAnsiTheme="minorEastAsia" w:eastAsiaTheme="minorEastAsia" w:cstheme="minorEastAsia"/>
          <w:sz w:val="28"/>
          <w:szCs w:val="28"/>
          <w:highlight w:val="none"/>
          <w:lang w:bidi="ar"/>
        </w:rPr>
        <w:t>配备个人防中毒窒息等防护装备，</w:t>
      </w:r>
      <w:r>
        <w:rPr>
          <w:rFonts w:hint="eastAsia" w:asciiTheme="minorEastAsia" w:hAnsiTheme="minorEastAsia" w:eastAsiaTheme="minorEastAsia" w:cstheme="minorEastAsia"/>
          <w:sz w:val="28"/>
          <w:szCs w:val="28"/>
          <w:highlight w:val="none"/>
          <w:lang w:val="en-US" w:eastAsia="zh-CN" w:bidi="ar"/>
        </w:rPr>
        <w:t>现场</w:t>
      </w:r>
      <w:r>
        <w:rPr>
          <w:rFonts w:hint="eastAsia" w:asciiTheme="minorEastAsia" w:hAnsiTheme="minorEastAsia" w:eastAsiaTheme="minorEastAsia" w:cstheme="minorEastAsia"/>
          <w:sz w:val="28"/>
          <w:szCs w:val="28"/>
          <w:highlight w:val="none"/>
          <w:lang w:bidi="ar"/>
        </w:rPr>
        <w:t>设置安全警示标识，严禁无防护监护措施作业。</w:t>
      </w:r>
      <w:r>
        <w:rPr>
          <w:rFonts w:hint="eastAsia" w:asciiTheme="minorEastAsia" w:hAnsiTheme="minorEastAsia" w:eastAsiaTheme="minorEastAsia" w:cstheme="minorEastAsia"/>
          <w:kern w:val="2"/>
          <w:sz w:val="28"/>
          <w:szCs w:val="28"/>
          <w:highlight w:val="none"/>
          <w:lang w:val="en-US" w:eastAsia="zh-CN" w:bidi="ar"/>
        </w:rPr>
        <w:t xml:space="preserve">检测合规后，必须办理作业许可手续后方可开展工作。作业过程中必须进行动态检测，一旦检测出现异常，作业人员立即停止作业撤离作业空间。承包人进行有限空间作业时必须制定应急措施，现场配备应急装备，严禁盲目施救。 </w:t>
      </w:r>
    </w:p>
    <w:p w14:paraId="508DDC3A">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kern w:val="2"/>
          <w:sz w:val="28"/>
          <w:szCs w:val="28"/>
          <w:highlight w:val="none"/>
          <w:lang w:val="en-US" w:eastAsia="zh-CN" w:bidi="ar"/>
        </w:rPr>
      </w:pPr>
      <w:r>
        <w:rPr>
          <w:rFonts w:hint="eastAsia" w:asciiTheme="minorEastAsia" w:hAnsiTheme="minorEastAsia" w:eastAsiaTheme="minorEastAsia" w:cstheme="minorEastAsia"/>
          <w:kern w:val="2"/>
          <w:sz w:val="28"/>
          <w:szCs w:val="28"/>
          <w:highlight w:val="none"/>
          <w:lang w:val="en-US" w:eastAsia="zh-CN" w:bidi="ar"/>
        </w:rPr>
        <w:t>7.</w:t>
      </w:r>
      <w:r>
        <w:rPr>
          <w:rFonts w:hint="eastAsia" w:asciiTheme="minorEastAsia" w:hAnsiTheme="minorEastAsia" w:eastAsiaTheme="minorEastAsia" w:cstheme="minorEastAsia"/>
          <w:sz w:val="28"/>
          <w:szCs w:val="28"/>
          <w:highlight w:val="none"/>
          <w:lang w:val="en-US" w:eastAsia="zh-CN" w:bidi="ar"/>
        </w:rPr>
        <w:t>承保人</w:t>
      </w:r>
      <w:r>
        <w:rPr>
          <w:rFonts w:hint="eastAsia" w:asciiTheme="minorEastAsia" w:hAnsiTheme="minorEastAsia" w:eastAsiaTheme="minorEastAsia" w:cstheme="minorEastAsia"/>
          <w:sz w:val="28"/>
          <w:szCs w:val="28"/>
          <w:highlight w:val="none"/>
          <w:lang w:bidi="ar"/>
        </w:rPr>
        <w:t>进行</w:t>
      </w:r>
      <w:r>
        <w:rPr>
          <w:rFonts w:hint="eastAsia" w:asciiTheme="minorEastAsia" w:hAnsiTheme="minorEastAsia" w:eastAsiaTheme="minorEastAsia" w:cstheme="minorEastAsia"/>
          <w:sz w:val="28"/>
          <w:szCs w:val="28"/>
          <w:highlight w:val="none"/>
          <w:lang w:val="en-US" w:eastAsia="zh-CN" w:bidi="ar"/>
        </w:rPr>
        <w:t>动土</w:t>
      </w:r>
      <w:r>
        <w:rPr>
          <w:rFonts w:hint="eastAsia" w:asciiTheme="minorEastAsia" w:hAnsiTheme="minorEastAsia" w:eastAsiaTheme="minorEastAsia" w:cstheme="minorEastAsia"/>
          <w:sz w:val="28"/>
          <w:szCs w:val="28"/>
          <w:highlight w:val="none"/>
          <w:lang w:bidi="ar"/>
        </w:rPr>
        <w:t>作业必须符合《建筑施工土石方工程安全技术规范JGJ</w:t>
      </w:r>
      <w:r>
        <w:rPr>
          <w:rFonts w:hint="eastAsia" w:asciiTheme="minorEastAsia" w:hAnsiTheme="minorEastAsia" w:eastAsiaTheme="minorEastAsia" w:cstheme="minorEastAsia"/>
          <w:sz w:val="28"/>
          <w:szCs w:val="28"/>
          <w:highlight w:val="none"/>
          <w:lang w:val="en-US" w:eastAsia="zh-CN" w:bidi="ar"/>
        </w:rPr>
        <w:t xml:space="preserve"> </w:t>
      </w:r>
      <w:r>
        <w:rPr>
          <w:rFonts w:hint="eastAsia" w:asciiTheme="minorEastAsia" w:hAnsiTheme="minorEastAsia" w:eastAsiaTheme="minorEastAsia" w:cstheme="minorEastAsia"/>
          <w:sz w:val="28"/>
          <w:szCs w:val="28"/>
          <w:highlight w:val="none"/>
          <w:lang w:bidi="ar"/>
        </w:rPr>
        <w:t>180》的各项相关要求。挖掘机等土方开挖机械必须提供符合国家规定的各项检查、检测证明文件，由</w:t>
      </w:r>
      <w:r>
        <w:rPr>
          <w:rFonts w:hint="eastAsia" w:asciiTheme="minorEastAsia" w:hAnsiTheme="minorEastAsia" w:eastAsiaTheme="minorEastAsia" w:cstheme="minorEastAsia"/>
          <w:sz w:val="28"/>
          <w:szCs w:val="28"/>
          <w:highlight w:val="none"/>
          <w:lang w:val="en-US" w:eastAsia="zh-CN" w:bidi="ar"/>
        </w:rPr>
        <w:t>承包人</w:t>
      </w:r>
      <w:r>
        <w:rPr>
          <w:rFonts w:hint="eastAsia" w:asciiTheme="minorEastAsia" w:hAnsiTheme="minorEastAsia" w:eastAsiaTheme="minorEastAsia" w:cstheme="minorEastAsia"/>
          <w:sz w:val="28"/>
          <w:szCs w:val="28"/>
          <w:highlight w:val="none"/>
          <w:lang w:bidi="ar"/>
        </w:rPr>
        <w:t>检查合格后方可进场施工，证件不齐、证明过期的土方开挖机械不得使用</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土方开挖区域必须用移动护栏围蔽，并装设警示牌。土方开挖工作区域内无关人员不得停留或通过</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进行挖掘作业前，要事先了解作业区域内的地下管网、线缆的埋设情况。土质松软时应有防塌方措施。</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进行挖掘机作业时，必须有具备资质的人员进行操作。施工单位应有专人在现场监护。夜间应有充足的照明</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雨后必须检查土壁及支撑稳定情况，在确保安全的情况下继续工作，并且不得将土和其他物件堆在支撑上，不得在支撑下行走或站立。人工挖土时要注意土壁的稳定性，发现有裂缝及倾、塌可能时，人员要立即离开并及时处理</w:t>
      </w:r>
      <w:r>
        <w:rPr>
          <w:rFonts w:hint="eastAsia" w:asciiTheme="minorEastAsia" w:hAnsiTheme="minorEastAsia" w:eastAsiaTheme="minorEastAsia" w:cstheme="minorEastAsia"/>
          <w:sz w:val="28"/>
          <w:szCs w:val="28"/>
          <w:highlight w:val="none"/>
          <w:lang w:eastAsia="zh-CN" w:bidi="ar"/>
        </w:rPr>
        <w:t>；</w:t>
      </w:r>
      <w:r>
        <w:rPr>
          <w:rFonts w:hint="eastAsia" w:asciiTheme="minorEastAsia" w:hAnsiTheme="minorEastAsia" w:eastAsiaTheme="minorEastAsia" w:cstheme="minorEastAsia"/>
          <w:sz w:val="28"/>
          <w:szCs w:val="28"/>
          <w:highlight w:val="none"/>
          <w:lang w:bidi="ar"/>
        </w:rPr>
        <w:t>不在围挡范围内的电缆沟未回填前，必须用护栏围蔽，护栏之间应连接牢固，以防止行人掉入电缆沟内</w:t>
      </w:r>
      <w:r>
        <w:rPr>
          <w:rFonts w:hint="eastAsia" w:asciiTheme="minorEastAsia" w:hAnsiTheme="minorEastAsia" w:eastAsiaTheme="minorEastAsia" w:cstheme="minorEastAsia"/>
          <w:sz w:val="28"/>
          <w:szCs w:val="28"/>
          <w:highlight w:val="none"/>
          <w:lang w:eastAsia="zh-CN" w:bidi="ar"/>
        </w:rPr>
        <w:t>。</w:t>
      </w:r>
    </w:p>
    <w:p w14:paraId="2471C127">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六</w:t>
      </w:r>
      <w:r>
        <w:rPr>
          <w:rFonts w:hint="eastAsia" w:asciiTheme="minorEastAsia" w:hAnsiTheme="minorEastAsia" w:eastAsiaTheme="minorEastAsia" w:cstheme="minorEastAsia"/>
          <w:sz w:val="28"/>
          <w:szCs w:val="28"/>
          <w:highlight w:val="none"/>
        </w:rPr>
        <w:t>、事故报告与应急救援</w:t>
      </w:r>
    </w:p>
    <w:p w14:paraId="340EC23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承包人应制定对于未遂事故及以上级别的安全事件和事故，定期报送安全月度快报、季报、年报和各种专项事故报告等。</w:t>
      </w:r>
    </w:p>
    <w:p w14:paraId="7A384902">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承包人应建立安全事故统计记录、未遂事故统计记录、违章统计记录，并根据统计情况进行分析，并就分析结果制定相应的预防措施。</w:t>
      </w:r>
    </w:p>
    <w:p w14:paraId="43A3DA3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rPr>
        <w:t>3</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承包人应建立事故应</w:t>
      </w:r>
      <w:r>
        <w:rPr>
          <w:rFonts w:hint="eastAsia" w:asciiTheme="minorEastAsia" w:hAnsiTheme="minorEastAsia" w:eastAsiaTheme="minorEastAsia" w:cstheme="minorEastAsia"/>
          <w:sz w:val="28"/>
          <w:szCs w:val="28"/>
          <w:highlight w:val="none"/>
          <w:lang w:bidi="ar"/>
        </w:rPr>
        <w:t>急救援机制，明确事故处置的基本原则，即现场发生事故时，首先抢救生命，向救援组织报警，并采取措施限制事故扩大。</w:t>
      </w:r>
    </w:p>
    <w:p w14:paraId="39892481">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4</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承包人应建立相应的应急响应组织，以便能迅速处理突发意外。</w:t>
      </w:r>
    </w:p>
    <w:p w14:paraId="55756DD1">
      <w:pPr>
        <w:keepNext w:val="0"/>
        <w:keepLines w:val="0"/>
        <w:widowControl/>
        <w:suppressLineNumbers w:val="0"/>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5</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承包人应建立专项应急响应预案，</w:t>
      </w:r>
      <w:r>
        <w:rPr>
          <w:rFonts w:hint="eastAsia" w:asciiTheme="minorEastAsia" w:hAnsiTheme="minorEastAsia" w:eastAsiaTheme="minorEastAsia" w:cstheme="minorEastAsia"/>
          <w:kern w:val="2"/>
          <w:sz w:val="28"/>
          <w:szCs w:val="28"/>
          <w:highlight w:val="none"/>
          <w:lang w:val="en-US" w:eastAsia="zh-CN" w:bidi="ar"/>
        </w:rPr>
        <w:t>事故应急预案应有针对性，</w:t>
      </w:r>
      <w:r>
        <w:rPr>
          <w:rFonts w:hint="eastAsia" w:asciiTheme="minorEastAsia" w:hAnsiTheme="minorEastAsia" w:eastAsiaTheme="minorEastAsia" w:cstheme="minorEastAsia"/>
          <w:sz w:val="28"/>
          <w:szCs w:val="28"/>
          <w:highlight w:val="none"/>
          <w:lang w:bidi="ar"/>
        </w:rPr>
        <w:t>包括重大人身伤亡事故的救护预案、火灾响应预案、“四防”预案（防风、防冻、防雷、防暴雨）、重大疫病防护预案、环境污染防护预案、地质灾害防护预案等。</w:t>
      </w:r>
      <w:r>
        <w:rPr>
          <w:rFonts w:hint="eastAsia" w:asciiTheme="minorEastAsia" w:hAnsiTheme="minorEastAsia" w:eastAsiaTheme="minorEastAsia" w:cstheme="minorEastAsia"/>
          <w:kern w:val="2"/>
          <w:sz w:val="28"/>
          <w:szCs w:val="28"/>
          <w:highlight w:val="none"/>
          <w:lang w:val="en-US" w:eastAsia="zh-CN" w:bidi="ar"/>
        </w:rPr>
        <w:t>并在施工现场配置针对各类事故发生时的应急装备和应急物质，确保现场应急装备齐全，用于防范各类突发事故。</w:t>
      </w:r>
    </w:p>
    <w:p w14:paraId="47E1A0AE">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6</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承包人应对应急预案进行适当演练，保证应急预案的可操作性。</w:t>
      </w:r>
    </w:p>
    <w:p w14:paraId="1B6186E9">
      <w:pPr>
        <w:widowControl/>
        <w:spacing w:line="360" w:lineRule="auto"/>
        <w:ind w:firstLine="560" w:firstLineChars="200"/>
        <w:jc w:val="left"/>
        <w:rPr>
          <w:rFonts w:hint="eastAsia" w:asciiTheme="minorEastAsia" w:hAnsiTheme="minorEastAsia" w:eastAsiaTheme="minorEastAsia" w:cstheme="minorEastAsia"/>
          <w:sz w:val="28"/>
          <w:szCs w:val="28"/>
          <w:highlight w:val="none"/>
          <w:lang w:bidi="ar"/>
        </w:rPr>
      </w:pPr>
      <w:r>
        <w:rPr>
          <w:rFonts w:hint="eastAsia" w:asciiTheme="minorEastAsia" w:hAnsiTheme="minorEastAsia" w:eastAsiaTheme="minorEastAsia" w:cstheme="minorEastAsia"/>
          <w:sz w:val="28"/>
          <w:szCs w:val="28"/>
          <w:highlight w:val="none"/>
          <w:lang w:bidi="ar"/>
        </w:rPr>
        <w:t>7</w:t>
      </w:r>
      <w:r>
        <w:rPr>
          <w:rFonts w:hint="eastAsia" w:asciiTheme="minorEastAsia" w:hAnsiTheme="minorEastAsia" w:eastAsiaTheme="minorEastAsia" w:cstheme="minorEastAsia"/>
          <w:sz w:val="28"/>
          <w:szCs w:val="28"/>
          <w:highlight w:val="none"/>
          <w:lang w:val="en-US" w:eastAsia="zh-CN" w:bidi="ar"/>
        </w:rPr>
        <w:t>.</w:t>
      </w:r>
      <w:r>
        <w:rPr>
          <w:rFonts w:hint="eastAsia" w:asciiTheme="minorEastAsia" w:hAnsiTheme="minorEastAsia" w:eastAsiaTheme="minorEastAsia" w:cstheme="minorEastAsia"/>
          <w:sz w:val="28"/>
          <w:szCs w:val="28"/>
          <w:highlight w:val="none"/>
          <w:lang w:bidi="ar"/>
        </w:rPr>
        <w:t>在工地的其他施工单位发生重大事故时，承包人应无条件立即配合、支持事故抢险。</w:t>
      </w:r>
    </w:p>
    <w:p w14:paraId="799A08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8</w:t>
      </w:r>
      <w:r>
        <w:rPr>
          <w:rFonts w:hint="eastAsia" w:asciiTheme="minorEastAsia" w:hAnsiTheme="minorEastAsia" w:eastAsiaTheme="minorEastAsia" w:cstheme="minorEastAsia"/>
          <w:sz w:val="28"/>
          <w:szCs w:val="28"/>
          <w:highlight w:val="none"/>
          <w:lang w:val="en-US" w:eastAsia="zh-CN"/>
        </w:rPr>
        <w:t>.</w:t>
      </w:r>
      <w:r>
        <w:rPr>
          <w:rFonts w:hint="eastAsia" w:asciiTheme="minorEastAsia" w:hAnsiTheme="minorEastAsia" w:eastAsiaTheme="minorEastAsia" w:cstheme="minorEastAsia"/>
          <w:sz w:val="28"/>
          <w:szCs w:val="28"/>
          <w:highlight w:val="none"/>
        </w:rPr>
        <w:t>承包人须为事故处置支付</w:t>
      </w:r>
      <w:r>
        <w:rPr>
          <w:rFonts w:hint="eastAsia" w:asciiTheme="minorEastAsia" w:hAnsiTheme="minorEastAsia" w:eastAsiaTheme="minorEastAsia" w:cstheme="minorEastAsia"/>
          <w:sz w:val="28"/>
          <w:szCs w:val="28"/>
          <w:highlight w:val="none"/>
          <w:lang w:val="en-US" w:eastAsia="zh-CN"/>
        </w:rPr>
        <w:t>或垫付</w:t>
      </w:r>
      <w:r>
        <w:rPr>
          <w:rFonts w:hint="eastAsia" w:asciiTheme="minorEastAsia" w:hAnsiTheme="minorEastAsia" w:eastAsiaTheme="minorEastAsia" w:cstheme="minorEastAsia"/>
          <w:sz w:val="28"/>
          <w:szCs w:val="28"/>
          <w:highlight w:val="none"/>
        </w:rPr>
        <w:t>各项费用，包括受伤者的抚恤、补偿等费用。由于发包人原因而造成的事故，发包人应负责按事故的具体损失情况给予承包人经济赔偿</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由于第三方原因造成的事故，发包人协助承包人向责任方追偿</w:t>
      </w:r>
      <w:r>
        <w:rPr>
          <w:rFonts w:hint="eastAsia" w:asciiTheme="minorEastAsia" w:hAnsiTheme="minorEastAsia" w:eastAsiaTheme="minorEastAsia" w:cstheme="minorEastAsia"/>
          <w:sz w:val="28"/>
          <w:szCs w:val="28"/>
          <w:highlight w:val="none"/>
        </w:rPr>
        <w:t>。</w:t>
      </w:r>
    </w:p>
    <w:p w14:paraId="2C1D901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val="en-US" w:eastAsia="zh-CN"/>
        </w:rPr>
        <w:t>9.</w:t>
      </w:r>
      <w:r>
        <w:rPr>
          <w:rFonts w:hint="eastAsia" w:asciiTheme="minorEastAsia" w:hAnsiTheme="minorEastAsia" w:eastAsiaTheme="minorEastAsia" w:cstheme="minorEastAsia"/>
          <w:sz w:val="28"/>
          <w:szCs w:val="28"/>
          <w:highlight w:val="none"/>
        </w:rPr>
        <w:t>涉及承包人员工的伤害事故，承包人除要报告发包人委托的监理公司外，还应负责按照国家、行业和本单位上级公司的要求，上报事故</w:t>
      </w:r>
      <w:r>
        <w:rPr>
          <w:rFonts w:hint="eastAsia" w:asciiTheme="minorEastAsia" w:hAnsiTheme="minorEastAsia" w:eastAsiaTheme="minorEastAsia" w:cstheme="minorEastAsia"/>
          <w:sz w:val="28"/>
          <w:szCs w:val="28"/>
          <w:highlight w:val="none"/>
          <w:lang w:eastAsia="zh-CN"/>
        </w:rPr>
        <w:t>，</w:t>
      </w:r>
      <w:r>
        <w:rPr>
          <w:rFonts w:hint="default" w:ascii="宋体" w:hAnsi="宋体" w:eastAsia="宋体" w:cs="Times New Roman"/>
          <w:color w:val="auto"/>
          <w:kern w:val="2"/>
          <w:sz w:val="28"/>
          <w:szCs w:val="28"/>
          <w:highlight w:val="none"/>
          <w:lang w:val="en-US" w:eastAsia="zh-CN" w:bidi="ar-SA"/>
        </w:rPr>
        <w:t>不得迟报、漏报、谎报、瞒报。</w:t>
      </w:r>
    </w:p>
    <w:p w14:paraId="1ED27E7E">
      <w:pPr>
        <w:spacing w:line="360" w:lineRule="auto"/>
        <w:ind w:firstLine="560" w:firstLineChars="200"/>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七</w:t>
      </w:r>
      <w:r>
        <w:rPr>
          <w:rFonts w:hint="eastAsia" w:asciiTheme="minorEastAsia" w:hAnsiTheme="minorEastAsia" w:eastAsiaTheme="minorEastAsia" w:cstheme="minorEastAsia"/>
          <w:sz w:val="28"/>
          <w:szCs w:val="28"/>
          <w:highlight w:val="none"/>
        </w:rPr>
        <w:t>、安全业绩考核</w:t>
      </w:r>
    </w:p>
    <w:p w14:paraId="5BA24175">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发生因承包人承担责任的安全事故</w:t>
      </w:r>
      <w:r>
        <w:rPr>
          <w:rFonts w:hint="eastAsia" w:asciiTheme="minorEastAsia" w:hAnsiTheme="minorEastAsia" w:eastAsiaTheme="minorEastAsia" w:cstheme="minorEastAsia"/>
          <w:sz w:val="28"/>
          <w:szCs w:val="28"/>
          <w:highlight w:val="none"/>
        </w:rPr>
        <w:t>时，承包人除应按国家有关规定承担责任和处罚外，发包人还将按照以下标准进行考核</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并要求乙方按下表要求支付违约金：</w:t>
      </w:r>
    </w:p>
    <w:p w14:paraId="12918813">
      <w:p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p>
    <w:tbl>
      <w:tblPr>
        <w:tblStyle w:val="15"/>
        <w:tblW w:w="7005" w:type="dxa"/>
        <w:jc w:val="center"/>
        <w:tblLayout w:type="fixed"/>
        <w:tblCellMar>
          <w:top w:w="0" w:type="dxa"/>
          <w:left w:w="0" w:type="dxa"/>
          <w:bottom w:w="0" w:type="dxa"/>
          <w:right w:w="0" w:type="dxa"/>
        </w:tblCellMar>
      </w:tblPr>
      <w:tblGrid>
        <w:gridCol w:w="3240"/>
        <w:gridCol w:w="3765"/>
      </w:tblGrid>
      <w:tr w14:paraId="341155A0">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0BC1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事件类型</w:t>
            </w:r>
          </w:p>
        </w:tc>
        <w:tc>
          <w:tcPr>
            <w:tcW w:w="376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633EDAC">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违约金额</w:t>
            </w:r>
          </w:p>
        </w:tc>
      </w:tr>
      <w:tr w14:paraId="35AAE106">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B78D69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较大事故</w:t>
            </w:r>
          </w:p>
        </w:tc>
        <w:tc>
          <w:tcPr>
            <w:tcW w:w="3765" w:type="dxa"/>
            <w:tcBorders>
              <w:top w:val="single" w:color="auto" w:sz="8" w:space="0"/>
              <w:left w:val="nil"/>
              <w:bottom w:val="single" w:color="auto" w:sz="8" w:space="0"/>
              <w:right w:val="single" w:color="auto" w:sz="8" w:space="0"/>
            </w:tcBorders>
            <w:noWrap w:val="0"/>
            <w:vAlign w:val="center"/>
          </w:tcPr>
          <w:p w14:paraId="372FDE1B">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kern w:val="0"/>
                <w:sz w:val="28"/>
                <w:szCs w:val="28"/>
                <w:highlight w:val="none"/>
              </w:rPr>
              <w:t>签约合同价</w:t>
            </w:r>
            <w:r>
              <w:rPr>
                <w:rFonts w:hint="eastAsia" w:asciiTheme="minorEastAsia" w:hAnsiTheme="minorEastAsia" w:eastAsiaTheme="minorEastAsia" w:cstheme="minorEastAsia"/>
                <w:sz w:val="28"/>
                <w:szCs w:val="28"/>
                <w:highlight w:val="none"/>
              </w:rPr>
              <w:t>的</w:t>
            </w:r>
            <w:r>
              <w:rPr>
                <w:rFonts w:hint="eastAsia" w:asciiTheme="minorEastAsia" w:hAnsiTheme="minorEastAsia" w:eastAsiaTheme="minorEastAsia" w:cstheme="minorEastAsia"/>
                <w:sz w:val="28"/>
                <w:szCs w:val="28"/>
                <w:highlight w:val="none"/>
                <w:lang w:val="en-US" w:eastAsia="zh-CN"/>
              </w:rPr>
              <w:t>10%</w:t>
            </w:r>
          </w:p>
        </w:tc>
      </w:tr>
      <w:tr w14:paraId="4611CCB9">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0278DE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重大事故</w:t>
            </w:r>
          </w:p>
        </w:tc>
        <w:tc>
          <w:tcPr>
            <w:tcW w:w="3765" w:type="dxa"/>
            <w:tcBorders>
              <w:top w:val="single" w:color="auto" w:sz="8" w:space="0"/>
              <w:left w:val="nil"/>
              <w:bottom w:val="single" w:color="auto" w:sz="8" w:space="0"/>
              <w:right w:val="single" w:color="auto" w:sz="8" w:space="0"/>
            </w:tcBorders>
            <w:noWrap w:val="0"/>
            <w:vAlign w:val="center"/>
          </w:tcPr>
          <w:p w14:paraId="01948C9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20%</w:t>
            </w:r>
          </w:p>
        </w:tc>
      </w:tr>
      <w:tr w14:paraId="5FE27600">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AFA18E">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特别重大事故</w:t>
            </w:r>
          </w:p>
        </w:tc>
        <w:tc>
          <w:tcPr>
            <w:tcW w:w="3765" w:type="dxa"/>
            <w:tcBorders>
              <w:top w:val="single" w:color="auto" w:sz="8" w:space="0"/>
              <w:left w:val="nil"/>
              <w:bottom w:val="single" w:color="auto" w:sz="8" w:space="0"/>
              <w:right w:val="single" w:color="auto" w:sz="8" w:space="0"/>
            </w:tcBorders>
            <w:noWrap w:val="0"/>
            <w:vAlign w:val="center"/>
          </w:tcPr>
          <w:p w14:paraId="2B7A32E0">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签约合同价的</w:t>
            </w:r>
            <w:r>
              <w:rPr>
                <w:rFonts w:hint="eastAsia" w:asciiTheme="minorEastAsia" w:hAnsiTheme="minorEastAsia" w:eastAsiaTheme="minorEastAsia" w:cstheme="minorEastAsia"/>
                <w:sz w:val="28"/>
                <w:szCs w:val="28"/>
                <w:highlight w:val="none"/>
                <w:lang w:val="en-US" w:eastAsia="zh-CN"/>
              </w:rPr>
              <w:t>40%</w:t>
            </w:r>
          </w:p>
        </w:tc>
      </w:tr>
    </w:tbl>
    <w:p w14:paraId="23370A84">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（1）较大事故，是指造成3人以上10人以下死亡，或者10人以上50人以下重伤，或者1000万元以上5000万元以下直接经济损失的事故；</w:t>
      </w:r>
    </w:p>
    <w:p w14:paraId="144677C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（2）重大事故，是指造成10人以上30人以下死亡，或者50人以上100人以下重伤，或者5000万元以上1亿元以下直接经济损失的事故；</w:t>
      </w:r>
    </w:p>
    <w:p w14:paraId="384A7486">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（3）特别重大事故，是指造成30人以上死亡，或者100人以上重伤（包括急性工业中毒，下同），或者1亿元以上直接经济损失的事故；</w:t>
      </w:r>
    </w:p>
    <w:p w14:paraId="2796B745">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（4）所称的“以上”包括本数，所称的“以下”不包括本数。</w:t>
      </w:r>
    </w:p>
    <w:p w14:paraId="6D825C52">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 </w:t>
      </w:r>
    </w:p>
    <w:p w14:paraId="082DE979">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十</w:t>
      </w:r>
      <w:r>
        <w:rPr>
          <w:rFonts w:hint="eastAsia" w:asciiTheme="minorEastAsia" w:hAnsiTheme="minorEastAsia" w:eastAsiaTheme="minorEastAsia" w:cstheme="minorEastAsia"/>
          <w:sz w:val="28"/>
          <w:szCs w:val="28"/>
          <w:highlight w:val="none"/>
          <w:lang w:val="en-US" w:eastAsia="zh-CN"/>
        </w:rPr>
        <w:t>八</w:t>
      </w:r>
      <w:r>
        <w:rPr>
          <w:rFonts w:hint="eastAsia" w:asciiTheme="minorEastAsia" w:hAnsiTheme="minorEastAsia" w:eastAsiaTheme="minorEastAsia" w:cstheme="minorEastAsia"/>
          <w:sz w:val="28"/>
          <w:szCs w:val="28"/>
          <w:highlight w:val="none"/>
        </w:rPr>
        <w:t>、协议条款的修订</w:t>
      </w:r>
    </w:p>
    <w:p w14:paraId="75A7DA5D">
      <w:pPr>
        <w:spacing w:line="360" w:lineRule="auto"/>
        <w:ind w:firstLine="560" w:firstLineChars="200"/>
        <w:jc w:val="left"/>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在项目实施过程中，经双方友好协商，本协议的有关条款也可做出相应的修改。</w:t>
      </w:r>
    </w:p>
    <w:p w14:paraId="338B84BA">
      <w:pPr>
        <w:widowControl/>
        <w:numPr>
          <w:ilvl w:val="0"/>
          <w:numId w:val="7"/>
        </w:numPr>
        <w:spacing w:line="360" w:lineRule="auto"/>
        <w:ind w:firstLine="560" w:firstLineChars="200"/>
        <w:jc w:val="left"/>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工程项目安全文明施工问题处罚表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5520"/>
        <w:gridCol w:w="1211"/>
        <w:gridCol w:w="1482"/>
      </w:tblGrid>
      <w:tr w14:paraId="7AF9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3" w:type="dxa"/>
            <w:vMerge w:val="restart"/>
            <w:vAlign w:val="center"/>
          </w:tcPr>
          <w:p w14:paraId="67E26B6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序号</w:t>
            </w:r>
          </w:p>
        </w:tc>
        <w:tc>
          <w:tcPr>
            <w:tcW w:w="5520" w:type="dxa"/>
            <w:vMerge w:val="restart"/>
            <w:vAlign w:val="center"/>
          </w:tcPr>
          <w:p w14:paraId="4E609F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存在隐患/问题/违章行为</w:t>
            </w:r>
          </w:p>
        </w:tc>
        <w:tc>
          <w:tcPr>
            <w:tcW w:w="2693" w:type="dxa"/>
            <w:gridSpan w:val="2"/>
            <w:vAlign w:val="center"/>
          </w:tcPr>
          <w:p w14:paraId="7B892D4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处罚标准</w:t>
            </w:r>
          </w:p>
        </w:tc>
      </w:tr>
      <w:tr w14:paraId="156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43" w:type="dxa"/>
            <w:vMerge w:val="continue"/>
            <w:vAlign w:val="center"/>
          </w:tcPr>
          <w:p w14:paraId="15616DB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5520" w:type="dxa"/>
            <w:vMerge w:val="continue"/>
            <w:vAlign w:val="center"/>
          </w:tcPr>
          <w:p w14:paraId="4B86BE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p>
        </w:tc>
        <w:tc>
          <w:tcPr>
            <w:tcW w:w="1211" w:type="dxa"/>
            <w:vAlign w:val="center"/>
          </w:tcPr>
          <w:p w14:paraId="5E5398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首次发生</w:t>
            </w:r>
          </w:p>
        </w:tc>
        <w:tc>
          <w:tcPr>
            <w:tcW w:w="1482" w:type="dxa"/>
            <w:vAlign w:val="center"/>
          </w:tcPr>
          <w:p w14:paraId="2166868F">
            <w:pPr>
              <w:numPr>
                <w:ilvl w:val="-1"/>
                <w:numId w:val="0"/>
              </w:numPr>
              <w:spacing w:line="360" w:lineRule="auto"/>
              <w:jc w:val="both"/>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4"/>
                <w:szCs w:val="24"/>
                <w:highlight w:val="none"/>
                <w:vertAlign w:val="baseline"/>
                <w:lang w:val="en-US" w:eastAsia="zh-CN"/>
              </w:rPr>
              <w:t>拒不整改或再次发生</w:t>
            </w:r>
          </w:p>
        </w:tc>
      </w:tr>
      <w:tr w14:paraId="44F8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D7512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w:t>
            </w:r>
          </w:p>
        </w:tc>
        <w:tc>
          <w:tcPr>
            <w:tcW w:w="5520" w:type="dxa"/>
          </w:tcPr>
          <w:p w14:paraId="643E2251">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ascii="宋体" w:hAnsi="宋体" w:eastAsia="宋体" w:cs="宋体"/>
                <w:sz w:val="24"/>
                <w:szCs w:val="24"/>
                <w:highlight w:val="none"/>
              </w:rPr>
              <w:t>因</w:t>
            </w: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原因未购买建筑工程一切险及第三者责任险，或保 险不符合安全交底文件要求</w:t>
            </w:r>
            <w:r>
              <w:rPr>
                <w:rFonts w:hint="eastAsia" w:ascii="宋体" w:hAnsi="宋体" w:eastAsia="宋体" w:cs="宋体"/>
                <w:sz w:val="24"/>
                <w:szCs w:val="24"/>
                <w:highlight w:val="none"/>
                <w:lang w:eastAsia="zh-CN"/>
              </w:rPr>
              <w:t>。</w:t>
            </w:r>
          </w:p>
        </w:tc>
        <w:tc>
          <w:tcPr>
            <w:tcW w:w="1211" w:type="dxa"/>
            <w:vAlign w:val="center"/>
          </w:tcPr>
          <w:p w14:paraId="03D3EA4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46C825AF">
            <w:pPr>
              <w:numPr>
                <w:ilvl w:val="-1"/>
                <w:numId w:val="0"/>
              </w:numPr>
              <w:spacing w:line="360" w:lineRule="auto"/>
              <w:jc w:val="center"/>
              <w:rPr>
                <w:rFonts w:hint="eastAsia"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w:t>
            </w:r>
          </w:p>
          <w:p w14:paraId="2E986A3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99C6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1AB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w:t>
            </w:r>
          </w:p>
        </w:tc>
        <w:tc>
          <w:tcPr>
            <w:tcW w:w="5520" w:type="dxa"/>
          </w:tcPr>
          <w:p w14:paraId="3FAC2C2A">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未建立健全安全责任制度，层层落实充电场站建设安全责任</w:t>
            </w:r>
            <w:r>
              <w:rPr>
                <w:rFonts w:hint="eastAsia" w:ascii="宋体" w:hAnsi="宋体" w:eastAsia="宋体" w:cs="宋体"/>
                <w:sz w:val="24"/>
                <w:szCs w:val="24"/>
                <w:highlight w:val="none"/>
                <w:lang w:eastAsia="zh-CN"/>
              </w:rPr>
              <w:t>。</w:t>
            </w:r>
          </w:p>
        </w:tc>
        <w:tc>
          <w:tcPr>
            <w:tcW w:w="1211" w:type="dxa"/>
            <w:vAlign w:val="center"/>
          </w:tcPr>
          <w:p w14:paraId="6D2C22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047E35B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4693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84EE5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w:t>
            </w:r>
          </w:p>
        </w:tc>
        <w:tc>
          <w:tcPr>
            <w:tcW w:w="5520" w:type="dxa"/>
          </w:tcPr>
          <w:p w14:paraId="6911F048">
            <w:pPr>
              <w:numPr>
                <w:ilvl w:val="-1"/>
                <w:numId w:val="0"/>
              </w:numPr>
              <w:spacing w:line="360" w:lineRule="auto"/>
              <w:jc w:val="left"/>
              <w:rPr>
                <w:rFonts w:hint="default" w:asciiTheme="minorEastAsia" w:hAnsiTheme="minorEastAsia" w:eastAsia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未为项目依法配备安全员。安全员未持证上岗，或人证不一致</w:t>
            </w:r>
          </w:p>
        </w:tc>
        <w:tc>
          <w:tcPr>
            <w:tcW w:w="1211" w:type="dxa"/>
            <w:vAlign w:val="center"/>
          </w:tcPr>
          <w:p w14:paraId="0F5C84D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4B9071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53DB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967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w:t>
            </w:r>
          </w:p>
        </w:tc>
        <w:tc>
          <w:tcPr>
            <w:tcW w:w="5520" w:type="dxa"/>
          </w:tcPr>
          <w:p w14:paraId="16D441FB">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未建立健全安全环保规章制度、安全操作规程和事故应急预案</w:t>
            </w:r>
            <w:r>
              <w:rPr>
                <w:rFonts w:hint="eastAsia" w:ascii="宋体" w:hAnsi="宋体" w:eastAsia="宋体" w:cs="宋体"/>
                <w:sz w:val="24"/>
                <w:szCs w:val="24"/>
                <w:highlight w:val="none"/>
                <w:lang w:eastAsia="zh-CN"/>
              </w:rPr>
              <w:t>。</w:t>
            </w:r>
          </w:p>
        </w:tc>
        <w:tc>
          <w:tcPr>
            <w:tcW w:w="1211" w:type="dxa"/>
            <w:vAlign w:val="center"/>
          </w:tcPr>
          <w:p w14:paraId="7AEBC5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30549B4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1F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92C00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w:t>
            </w:r>
          </w:p>
        </w:tc>
        <w:tc>
          <w:tcPr>
            <w:tcW w:w="5520" w:type="dxa"/>
          </w:tcPr>
          <w:p w14:paraId="590D2D47">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未结合本工程特点和现场实际情况编制可靠、适用的施工技术安全措施，或各项安全措施未落实</w:t>
            </w:r>
            <w:r>
              <w:rPr>
                <w:rFonts w:hint="eastAsia" w:ascii="宋体" w:hAnsi="宋体" w:eastAsia="宋体" w:cs="宋体"/>
                <w:sz w:val="24"/>
                <w:szCs w:val="24"/>
                <w:highlight w:val="none"/>
                <w:lang w:eastAsia="zh-CN"/>
              </w:rPr>
              <w:t>。</w:t>
            </w:r>
          </w:p>
        </w:tc>
        <w:tc>
          <w:tcPr>
            <w:tcW w:w="1211" w:type="dxa"/>
            <w:vAlign w:val="center"/>
          </w:tcPr>
          <w:p w14:paraId="09AAB89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574B92E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A57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D8241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6</w:t>
            </w:r>
          </w:p>
        </w:tc>
        <w:tc>
          <w:tcPr>
            <w:tcW w:w="5520" w:type="dxa"/>
          </w:tcPr>
          <w:p w14:paraId="4F99CECD">
            <w:pPr>
              <w:numPr>
                <w:ilvl w:val="-1"/>
                <w:numId w:val="0"/>
              </w:numPr>
              <w:spacing w:line="360" w:lineRule="auto"/>
              <w:jc w:val="left"/>
              <w:rPr>
                <w:rFonts w:hint="eastAsia" w:eastAsia="宋体" w:asciiTheme="minorEastAsia" w:hAnsiTheme="minorEastAsia" w:cstheme="minorEastAsia"/>
                <w:sz w:val="28"/>
                <w:szCs w:val="28"/>
                <w:highlight w:val="none"/>
                <w:vertAlign w:val="baseli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未针对起重吊装、动火作业、电工作业、高处作业</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土方开挖、有限空间作业等特种作业项目编制专项施工技术安 全方案，或专项施工技术安全方案未落实</w:t>
            </w:r>
            <w:r>
              <w:rPr>
                <w:rFonts w:hint="eastAsia" w:ascii="宋体" w:hAnsi="宋体" w:eastAsia="宋体" w:cs="宋体"/>
                <w:sz w:val="24"/>
                <w:szCs w:val="24"/>
                <w:highlight w:val="none"/>
                <w:lang w:eastAsia="zh-CN"/>
              </w:rPr>
              <w:t>。</w:t>
            </w:r>
          </w:p>
        </w:tc>
        <w:tc>
          <w:tcPr>
            <w:tcW w:w="1211" w:type="dxa"/>
            <w:vAlign w:val="center"/>
          </w:tcPr>
          <w:p w14:paraId="07F1722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1000</w:t>
            </w:r>
          </w:p>
        </w:tc>
        <w:tc>
          <w:tcPr>
            <w:tcW w:w="1482" w:type="dxa"/>
            <w:vAlign w:val="center"/>
          </w:tcPr>
          <w:p w14:paraId="2A99B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7AC1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DE3A99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7</w:t>
            </w:r>
          </w:p>
        </w:tc>
        <w:tc>
          <w:tcPr>
            <w:tcW w:w="5520" w:type="dxa"/>
          </w:tcPr>
          <w:p w14:paraId="3EFF603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作业前未对所有作业人员进行安全、环保、文明施工相关教育培训和安全技术交底</w:t>
            </w:r>
            <w:r>
              <w:rPr>
                <w:rFonts w:hint="eastAsia" w:ascii="宋体" w:hAnsi="宋体" w:eastAsia="宋体" w:cs="宋体"/>
                <w:sz w:val="24"/>
                <w:szCs w:val="24"/>
                <w:highlight w:val="none"/>
                <w:lang w:eastAsia="zh-CN"/>
              </w:rPr>
              <w:t>。</w:t>
            </w:r>
          </w:p>
        </w:tc>
        <w:tc>
          <w:tcPr>
            <w:tcW w:w="1211" w:type="dxa"/>
            <w:vAlign w:val="center"/>
          </w:tcPr>
          <w:p w14:paraId="6688CCB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BA4E2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ascii="宋体" w:hAnsi="宋体" w:eastAsia="宋体" w:cs="宋体"/>
                <w:sz w:val="24"/>
                <w:szCs w:val="24"/>
                <w:highlight w:val="none"/>
              </w:rPr>
              <w:t>停工整改</w:t>
            </w:r>
          </w:p>
        </w:tc>
      </w:tr>
      <w:tr w14:paraId="6F3C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0F45D7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8</w:t>
            </w:r>
          </w:p>
        </w:tc>
        <w:tc>
          <w:tcPr>
            <w:tcW w:w="5520" w:type="dxa"/>
          </w:tcPr>
          <w:p w14:paraId="7D14408F">
            <w:pPr>
              <w:numPr>
                <w:ilvl w:val="-1"/>
                <w:numId w:val="0"/>
              </w:numPr>
              <w:spacing w:line="360" w:lineRule="auto"/>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未定期组织安全、环保、文明施工检查，并整改问题和隐患</w:t>
            </w:r>
            <w:r>
              <w:rPr>
                <w:rFonts w:hint="eastAsia" w:ascii="宋体" w:hAnsi="宋体" w:eastAsia="宋体" w:cs="宋体"/>
                <w:sz w:val="24"/>
                <w:szCs w:val="24"/>
                <w:highlight w:val="none"/>
                <w:lang w:eastAsia="zh-CN"/>
              </w:rPr>
              <w:t>。</w:t>
            </w:r>
          </w:p>
        </w:tc>
        <w:tc>
          <w:tcPr>
            <w:tcW w:w="1211" w:type="dxa"/>
            <w:vAlign w:val="center"/>
          </w:tcPr>
          <w:p w14:paraId="5B10BA2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64E4045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04FF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4D05A8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9</w:t>
            </w:r>
          </w:p>
        </w:tc>
        <w:tc>
          <w:tcPr>
            <w:tcW w:w="5520" w:type="dxa"/>
          </w:tcPr>
          <w:p w14:paraId="195EAC67">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要求配置安全标识。</w:t>
            </w:r>
          </w:p>
        </w:tc>
        <w:tc>
          <w:tcPr>
            <w:tcW w:w="1211" w:type="dxa"/>
            <w:vAlign w:val="center"/>
          </w:tcPr>
          <w:p w14:paraId="489A6F0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7C4C78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8C4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304D22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w:t>
            </w:r>
          </w:p>
        </w:tc>
        <w:tc>
          <w:tcPr>
            <w:tcW w:w="5520" w:type="dxa"/>
          </w:tcPr>
          <w:p w14:paraId="2BD52CAD">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要求设置围挡。</w:t>
            </w:r>
          </w:p>
        </w:tc>
        <w:tc>
          <w:tcPr>
            <w:tcW w:w="1211" w:type="dxa"/>
            <w:vAlign w:val="center"/>
          </w:tcPr>
          <w:p w14:paraId="1BC9AC4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541BC3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724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E2AE15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11</w:t>
            </w:r>
          </w:p>
        </w:tc>
        <w:tc>
          <w:tcPr>
            <w:tcW w:w="5520" w:type="dxa"/>
          </w:tcPr>
          <w:p w14:paraId="2E653A8A">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w:t>
            </w:r>
            <w:r>
              <w:rPr>
                <w:rFonts w:hint="eastAsia" w:ascii="宋体" w:hAnsi="宋体" w:eastAsia="宋体" w:cs="宋体"/>
                <w:sz w:val="24"/>
                <w:szCs w:val="24"/>
                <w:highlight w:val="none"/>
                <w:lang w:val="en-US" w:eastAsia="zh-CN"/>
              </w:rPr>
              <w:t>按本合同</w:t>
            </w:r>
            <w:r>
              <w:rPr>
                <w:rFonts w:ascii="宋体" w:hAnsi="宋体" w:eastAsia="宋体" w:cs="宋体"/>
                <w:sz w:val="24"/>
                <w:szCs w:val="24"/>
                <w:highlight w:val="none"/>
              </w:rPr>
              <w:t>要求为施工人员配置个人防护用品。</w:t>
            </w:r>
          </w:p>
        </w:tc>
        <w:tc>
          <w:tcPr>
            <w:tcW w:w="1211" w:type="dxa"/>
            <w:vAlign w:val="center"/>
          </w:tcPr>
          <w:p w14:paraId="5C220C8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17CEB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25D7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39ADFC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12</w:t>
            </w:r>
          </w:p>
        </w:tc>
        <w:tc>
          <w:tcPr>
            <w:tcW w:w="5520" w:type="dxa"/>
          </w:tcPr>
          <w:p w14:paraId="3E792D7A">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要求在现场配置灭火器和灭火器放置点标识</w:t>
            </w:r>
            <w:r>
              <w:rPr>
                <w:rFonts w:hint="eastAsia" w:ascii="宋体" w:hAnsi="宋体" w:eastAsia="宋体" w:cs="宋体"/>
                <w:sz w:val="24"/>
                <w:szCs w:val="24"/>
                <w:highlight w:val="none"/>
                <w:lang w:eastAsia="zh-CN"/>
              </w:rPr>
              <w:t>。</w:t>
            </w:r>
          </w:p>
        </w:tc>
        <w:tc>
          <w:tcPr>
            <w:tcW w:w="1211" w:type="dxa"/>
            <w:vAlign w:val="center"/>
          </w:tcPr>
          <w:p w14:paraId="6F0CE8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71270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43B0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2581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13</w:t>
            </w:r>
          </w:p>
        </w:tc>
        <w:tc>
          <w:tcPr>
            <w:tcW w:w="5520" w:type="dxa"/>
          </w:tcPr>
          <w:p w14:paraId="34687D88">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施工现场施工用电线路不符合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95AA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594EDD6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249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BED02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14</w:t>
            </w:r>
          </w:p>
        </w:tc>
        <w:tc>
          <w:tcPr>
            <w:tcW w:w="5520" w:type="dxa"/>
          </w:tcPr>
          <w:p w14:paraId="3BD52ED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施工现场移动式配电箱或开关箱不符合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4B76756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11AAF22">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51E1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32B02FE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15</w:t>
            </w:r>
          </w:p>
        </w:tc>
        <w:tc>
          <w:tcPr>
            <w:tcW w:w="5520" w:type="dxa"/>
          </w:tcPr>
          <w:p w14:paraId="224DC83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施工现场施工用电设备不符合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4BC47FB7">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84CBC1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2A1E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6142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16</w:t>
            </w:r>
          </w:p>
        </w:tc>
        <w:tc>
          <w:tcPr>
            <w:tcW w:w="5520" w:type="dxa"/>
          </w:tcPr>
          <w:p w14:paraId="2D9A0F84">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施工现场手持电动工具不符合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0B93944D">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8D98429">
            <w:pPr>
              <w:numPr>
                <w:ilvl w:val="-1"/>
                <w:numId w:val="0"/>
              </w:numPr>
              <w:spacing w:line="360" w:lineRule="auto"/>
              <w:ind w:left="0" w:leftChars="0" w:firstLine="0" w:firstLineChars="0"/>
              <w:jc w:val="center"/>
              <w:rPr>
                <w:rFonts w:hint="default" w:asciiTheme="minorEastAsia" w:hAnsiTheme="minorEastAsia" w:eastAsiaTheme="minorEastAsia" w:cstheme="minorEastAsia"/>
                <w:kern w:val="2"/>
                <w:sz w:val="28"/>
                <w:szCs w:val="28"/>
                <w:highlight w:val="none"/>
                <w:vertAlign w:val="baseline"/>
                <w:lang w:val="en-US" w:eastAsia="zh-CN" w:bidi="ar-SA"/>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60D2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5EB7D0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17</w:t>
            </w:r>
          </w:p>
        </w:tc>
        <w:tc>
          <w:tcPr>
            <w:tcW w:w="5520" w:type="dxa"/>
          </w:tcPr>
          <w:p w14:paraId="3914FBF4">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乙方</w:t>
            </w:r>
            <w:r>
              <w:rPr>
                <w:rFonts w:ascii="宋体" w:hAnsi="宋体" w:eastAsia="宋体" w:cs="宋体"/>
                <w:sz w:val="24"/>
                <w:szCs w:val="24"/>
                <w:highlight w:val="none"/>
              </w:rPr>
              <w:t>从事起重吊装、动火作业、电工作业、高处作业、有限空间作业、挖掘机土方开挖等特种作业，作业人员未持证上岗，或人证不一致。或证件不符合要求</w:t>
            </w:r>
            <w:r>
              <w:rPr>
                <w:rFonts w:hint="eastAsia" w:ascii="宋体" w:hAnsi="宋体" w:eastAsia="宋体" w:cs="宋体"/>
                <w:sz w:val="24"/>
                <w:szCs w:val="24"/>
                <w:highlight w:val="none"/>
                <w:lang w:eastAsia="zh-CN"/>
              </w:rPr>
              <w:t>。</w:t>
            </w:r>
          </w:p>
        </w:tc>
        <w:tc>
          <w:tcPr>
            <w:tcW w:w="1211" w:type="dxa"/>
            <w:vAlign w:val="center"/>
          </w:tcPr>
          <w:p w14:paraId="3DB8209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w:t>
            </w:r>
          </w:p>
        </w:tc>
        <w:tc>
          <w:tcPr>
            <w:tcW w:w="1482" w:type="dxa"/>
            <w:vAlign w:val="center"/>
          </w:tcPr>
          <w:p w14:paraId="357D27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停工整改</w:t>
            </w:r>
          </w:p>
        </w:tc>
      </w:tr>
      <w:tr w14:paraId="3BC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2F91E3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18</w:t>
            </w:r>
          </w:p>
        </w:tc>
        <w:tc>
          <w:tcPr>
            <w:tcW w:w="5520" w:type="dxa"/>
          </w:tcPr>
          <w:p w14:paraId="6D0F2E8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起重吊装作业未履行审批手续或现场不符合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和“十不吊”要求</w:t>
            </w:r>
            <w:r>
              <w:rPr>
                <w:rFonts w:hint="eastAsia" w:ascii="宋体" w:hAnsi="宋体" w:eastAsia="宋体" w:cs="宋体"/>
                <w:sz w:val="24"/>
                <w:szCs w:val="24"/>
                <w:highlight w:val="none"/>
                <w:lang w:eastAsia="zh-CN"/>
              </w:rPr>
              <w:t>。</w:t>
            </w:r>
          </w:p>
        </w:tc>
        <w:tc>
          <w:tcPr>
            <w:tcW w:w="1211" w:type="dxa"/>
            <w:vAlign w:val="center"/>
          </w:tcPr>
          <w:p w14:paraId="14C99E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6A08902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58C33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52A06A4">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19</w:t>
            </w:r>
          </w:p>
        </w:tc>
        <w:tc>
          <w:tcPr>
            <w:tcW w:w="5520" w:type="dxa"/>
          </w:tcPr>
          <w:p w14:paraId="542AC03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高处作业未履行审批手续或现场不符合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4B788F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CD9F84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64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042D81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w:t>
            </w:r>
          </w:p>
        </w:tc>
        <w:tc>
          <w:tcPr>
            <w:tcW w:w="5520" w:type="dxa"/>
          </w:tcPr>
          <w:p w14:paraId="10DCD987">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动火作业未履行审批手续或现场不符合</w:t>
            </w:r>
            <w:r>
              <w:rPr>
                <w:rFonts w:hint="eastAsia" w:ascii="宋体" w:hAnsi="宋体" w:eastAsia="宋体" w:cs="宋体"/>
                <w:sz w:val="24"/>
                <w:szCs w:val="24"/>
                <w:highlight w:val="none"/>
                <w:lang w:val="en-US" w:eastAsia="zh-CN"/>
              </w:rPr>
              <w:t>本合同要求</w:t>
            </w:r>
            <w:r>
              <w:rPr>
                <w:rFonts w:ascii="宋体" w:hAnsi="宋体" w:eastAsia="宋体" w:cs="宋体"/>
                <w:sz w:val="24"/>
                <w:szCs w:val="24"/>
                <w:highlight w:val="none"/>
              </w:rPr>
              <w:t>和“十不烧”要求</w:t>
            </w:r>
          </w:p>
        </w:tc>
        <w:tc>
          <w:tcPr>
            <w:tcW w:w="1211" w:type="dxa"/>
            <w:vAlign w:val="center"/>
          </w:tcPr>
          <w:p w14:paraId="758CA00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7EABC6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EB9E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EC832D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21</w:t>
            </w:r>
          </w:p>
        </w:tc>
        <w:tc>
          <w:tcPr>
            <w:tcW w:w="5520" w:type="dxa"/>
          </w:tcPr>
          <w:p w14:paraId="4E96011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p>
        </w:tc>
        <w:tc>
          <w:tcPr>
            <w:tcW w:w="1211" w:type="dxa"/>
            <w:vAlign w:val="center"/>
          </w:tcPr>
          <w:p w14:paraId="696049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48ACE69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5D7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4DDA793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22</w:t>
            </w:r>
          </w:p>
        </w:tc>
        <w:tc>
          <w:tcPr>
            <w:tcW w:w="5520" w:type="dxa"/>
          </w:tcPr>
          <w:p w14:paraId="371A796E">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633A969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2CDC207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424D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BA1A46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23</w:t>
            </w:r>
          </w:p>
        </w:tc>
        <w:tc>
          <w:tcPr>
            <w:tcW w:w="5520" w:type="dxa"/>
          </w:tcPr>
          <w:p w14:paraId="0F8B350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挖掘机土方开挖作业未履行审批手续或现场不符合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16AE07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6CCD8A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0613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60A5F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24</w:t>
            </w:r>
          </w:p>
        </w:tc>
        <w:tc>
          <w:tcPr>
            <w:tcW w:w="5520" w:type="dxa"/>
          </w:tcPr>
          <w:p w14:paraId="089D99ED">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电缆铺设作业现场不符合</w:t>
            </w:r>
            <w:r>
              <w:rPr>
                <w:rFonts w:hint="eastAsia" w:ascii="宋体" w:hAnsi="宋体" w:eastAsia="宋体" w:cs="宋体"/>
                <w:sz w:val="24"/>
                <w:szCs w:val="24"/>
                <w:highlight w:val="none"/>
                <w:lang w:val="en-US" w:eastAsia="zh-CN"/>
              </w:rPr>
              <w:t>本合同</w:t>
            </w:r>
            <w:r>
              <w:rPr>
                <w:rFonts w:ascii="宋体" w:hAnsi="宋体" w:eastAsia="宋体" w:cs="宋体"/>
                <w:sz w:val="24"/>
                <w:szCs w:val="24"/>
                <w:highlight w:val="none"/>
              </w:rPr>
              <w:t>要求</w:t>
            </w:r>
            <w:r>
              <w:rPr>
                <w:rFonts w:hint="eastAsia" w:ascii="宋体" w:hAnsi="宋体" w:eastAsia="宋体" w:cs="宋体"/>
                <w:sz w:val="24"/>
                <w:szCs w:val="24"/>
                <w:highlight w:val="none"/>
                <w:lang w:eastAsia="zh-CN"/>
              </w:rPr>
              <w:t>。</w:t>
            </w:r>
          </w:p>
        </w:tc>
        <w:tc>
          <w:tcPr>
            <w:tcW w:w="1211" w:type="dxa"/>
            <w:vAlign w:val="center"/>
          </w:tcPr>
          <w:p w14:paraId="37DBD61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3E7D4C0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2000或停工整改</w:t>
            </w:r>
          </w:p>
        </w:tc>
      </w:tr>
      <w:tr w14:paraId="3320B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72C71E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25</w:t>
            </w:r>
          </w:p>
        </w:tc>
        <w:tc>
          <w:tcPr>
            <w:tcW w:w="5520" w:type="dxa"/>
          </w:tcPr>
          <w:p w14:paraId="6983BC70">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施工现场工程设备材料堆放混乱</w:t>
            </w:r>
            <w:r>
              <w:rPr>
                <w:rFonts w:hint="eastAsia" w:ascii="宋体" w:hAnsi="宋体" w:eastAsia="宋体" w:cs="宋体"/>
                <w:sz w:val="24"/>
                <w:szCs w:val="24"/>
                <w:highlight w:val="none"/>
                <w:lang w:eastAsia="zh-CN"/>
              </w:rPr>
              <w:t>。</w:t>
            </w:r>
          </w:p>
        </w:tc>
        <w:tc>
          <w:tcPr>
            <w:tcW w:w="1211" w:type="dxa"/>
            <w:vAlign w:val="center"/>
          </w:tcPr>
          <w:p w14:paraId="30BB6B39">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8CA18B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419C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9ACE7B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26</w:t>
            </w:r>
          </w:p>
        </w:tc>
        <w:tc>
          <w:tcPr>
            <w:tcW w:w="5520" w:type="dxa"/>
          </w:tcPr>
          <w:p w14:paraId="0796A793">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施工结束时施工单位未及时清理现场，未做到工完料尽场地清。</w:t>
            </w:r>
          </w:p>
        </w:tc>
        <w:tc>
          <w:tcPr>
            <w:tcW w:w="1211" w:type="dxa"/>
            <w:vAlign w:val="center"/>
          </w:tcPr>
          <w:p w14:paraId="5DC784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485F918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0AF30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D30C31E">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27</w:t>
            </w:r>
          </w:p>
        </w:tc>
        <w:tc>
          <w:tcPr>
            <w:tcW w:w="5520" w:type="dxa"/>
          </w:tcPr>
          <w:p w14:paraId="36736D22">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施工现场地面存在直立的钉子或大量玻璃碎片。</w:t>
            </w:r>
          </w:p>
        </w:tc>
        <w:tc>
          <w:tcPr>
            <w:tcW w:w="1211" w:type="dxa"/>
            <w:vAlign w:val="center"/>
          </w:tcPr>
          <w:p w14:paraId="0A79F07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194CE6D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140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BF48AB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28</w:t>
            </w:r>
          </w:p>
        </w:tc>
        <w:tc>
          <w:tcPr>
            <w:tcW w:w="5520" w:type="dxa"/>
          </w:tcPr>
          <w:p w14:paraId="76B12F9C">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施工场地内的泥浆、沙土被带至施工场地外。施工现场 “扬尘” 严重。</w:t>
            </w:r>
          </w:p>
        </w:tc>
        <w:tc>
          <w:tcPr>
            <w:tcW w:w="1211" w:type="dxa"/>
            <w:vAlign w:val="center"/>
          </w:tcPr>
          <w:p w14:paraId="23FEBA9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116A85E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7B9D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C9E0E3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29</w:t>
            </w:r>
          </w:p>
        </w:tc>
        <w:tc>
          <w:tcPr>
            <w:tcW w:w="5520" w:type="dxa"/>
          </w:tcPr>
          <w:p w14:paraId="73143DC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施工人员在施工场地内焚烧废物。</w:t>
            </w:r>
          </w:p>
        </w:tc>
        <w:tc>
          <w:tcPr>
            <w:tcW w:w="1211" w:type="dxa"/>
            <w:vAlign w:val="center"/>
          </w:tcPr>
          <w:p w14:paraId="6ABEFEE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E14DA7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3257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0E3F98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30</w:t>
            </w:r>
          </w:p>
        </w:tc>
        <w:tc>
          <w:tcPr>
            <w:tcW w:w="5520" w:type="dxa"/>
          </w:tcPr>
          <w:p w14:paraId="6AA2A6ED">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在施工场地存放稀料、汽油、喷漆等易燃易爆危险物品，未做到当天使用当天清理</w:t>
            </w:r>
            <w:r>
              <w:rPr>
                <w:rFonts w:hint="eastAsia" w:ascii="宋体" w:hAnsi="宋体" w:eastAsia="宋体" w:cs="宋体"/>
                <w:sz w:val="24"/>
                <w:szCs w:val="24"/>
                <w:highlight w:val="none"/>
                <w:lang w:eastAsia="zh-CN"/>
              </w:rPr>
              <w:t>。</w:t>
            </w:r>
          </w:p>
        </w:tc>
        <w:tc>
          <w:tcPr>
            <w:tcW w:w="1211" w:type="dxa"/>
            <w:vAlign w:val="center"/>
          </w:tcPr>
          <w:p w14:paraId="0255CB2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75C2EEE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55CD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67AAA7D">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31</w:t>
            </w:r>
          </w:p>
        </w:tc>
        <w:tc>
          <w:tcPr>
            <w:tcW w:w="5520" w:type="dxa"/>
          </w:tcPr>
          <w:p w14:paraId="6E1CF239">
            <w:pPr>
              <w:numPr>
                <w:ilvl w:val="-1"/>
                <w:numId w:val="0"/>
              </w:numPr>
              <w:spacing w:line="360" w:lineRule="auto"/>
              <w:jc w:val="left"/>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未按工程进展情况做好季节性施工的各项安全保证措 施，夏季未做防暑降温、防暴雨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防地灾</w:t>
            </w:r>
            <w:r>
              <w:rPr>
                <w:rFonts w:ascii="宋体" w:hAnsi="宋体" w:eastAsia="宋体" w:cs="宋体"/>
                <w:sz w:val="24"/>
                <w:szCs w:val="24"/>
                <w:highlight w:val="none"/>
              </w:rPr>
              <w:t>等安全防护工作，秋冬季节未做防火、防暴雪等安全防护工作。</w:t>
            </w:r>
          </w:p>
        </w:tc>
        <w:tc>
          <w:tcPr>
            <w:tcW w:w="1211" w:type="dxa"/>
            <w:vAlign w:val="center"/>
          </w:tcPr>
          <w:p w14:paraId="3086E9E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805293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CD1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4BF788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32</w:t>
            </w:r>
          </w:p>
        </w:tc>
        <w:tc>
          <w:tcPr>
            <w:tcW w:w="5520" w:type="dxa"/>
          </w:tcPr>
          <w:p w14:paraId="47C680C3">
            <w:pPr>
              <w:numPr>
                <w:ilvl w:val="-1"/>
                <w:numId w:val="0"/>
              </w:numPr>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承包人</w:t>
            </w:r>
            <w:r>
              <w:rPr>
                <w:rFonts w:ascii="宋体" w:hAnsi="宋体" w:eastAsia="宋体" w:cs="宋体"/>
                <w:sz w:val="24"/>
                <w:szCs w:val="24"/>
                <w:highlight w:val="none"/>
              </w:rPr>
              <w:t>未配置有针对性的各类应急装备和应急物资</w:t>
            </w:r>
            <w:r>
              <w:rPr>
                <w:rFonts w:hint="eastAsia" w:ascii="宋体" w:hAnsi="宋体" w:eastAsia="宋体" w:cs="宋体"/>
                <w:sz w:val="24"/>
                <w:szCs w:val="24"/>
                <w:highlight w:val="none"/>
                <w:lang w:eastAsia="zh-CN"/>
              </w:rPr>
              <w:t>。</w:t>
            </w:r>
          </w:p>
        </w:tc>
        <w:tc>
          <w:tcPr>
            <w:tcW w:w="1211" w:type="dxa"/>
            <w:vAlign w:val="center"/>
          </w:tcPr>
          <w:p w14:paraId="4591D7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w:t>
            </w:r>
          </w:p>
        </w:tc>
        <w:tc>
          <w:tcPr>
            <w:tcW w:w="1482" w:type="dxa"/>
            <w:vAlign w:val="center"/>
          </w:tcPr>
          <w:p w14:paraId="0072806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r>
      <w:tr w14:paraId="289B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61D491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33</w:t>
            </w:r>
          </w:p>
        </w:tc>
        <w:tc>
          <w:tcPr>
            <w:tcW w:w="5520" w:type="dxa"/>
          </w:tcPr>
          <w:p w14:paraId="2FEDDAF9">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施工人员在施工现场，未正确佩戴安全帽，未穿安全鞋、工作服、反光衣和防护手套</w:t>
            </w:r>
            <w:r>
              <w:rPr>
                <w:rFonts w:hint="eastAsia" w:ascii="宋体" w:hAnsi="宋体" w:eastAsia="宋体" w:cs="宋体"/>
                <w:sz w:val="24"/>
                <w:szCs w:val="24"/>
                <w:highlight w:val="none"/>
                <w:lang w:eastAsia="zh-CN"/>
              </w:rPr>
              <w:t>。</w:t>
            </w:r>
          </w:p>
        </w:tc>
        <w:tc>
          <w:tcPr>
            <w:tcW w:w="1211" w:type="dxa"/>
            <w:vAlign w:val="center"/>
          </w:tcPr>
          <w:p w14:paraId="007711F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453ADC3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35156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DBC3A0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34</w:t>
            </w:r>
          </w:p>
        </w:tc>
        <w:tc>
          <w:tcPr>
            <w:tcW w:w="5520" w:type="dxa"/>
          </w:tcPr>
          <w:p w14:paraId="0955F1F7">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施工人员在现场穿拖鞋、凉鞋、高跟鞋、短袖、短裤、漏洞牛仔裤进行作业</w:t>
            </w:r>
            <w:r>
              <w:rPr>
                <w:rFonts w:hint="eastAsia" w:ascii="宋体" w:hAnsi="宋体" w:eastAsia="宋体" w:cs="宋体"/>
                <w:sz w:val="24"/>
                <w:szCs w:val="24"/>
                <w:highlight w:val="none"/>
                <w:lang w:eastAsia="zh-CN"/>
              </w:rPr>
              <w:t>。</w:t>
            </w:r>
          </w:p>
        </w:tc>
        <w:tc>
          <w:tcPr>
            <w:tcW w:w="1211" w:type="dxa"/>
            <w:vAlign w:val="center"/>
          </w:tcPr>
          <w:p w14:paraId="344C6DF5">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217B755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7DEC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7D2B6FD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35</w:t>
            </w:r>
          </w:p>
        </w:tc>
        <w:tc>
          <w:tcPr>
            <w:tcW w:w="5520" w:type="dxa"/>
          </w:tcPr>
          <w:p w14:paraId="31772064">
            <w:pPr>
              <w:numPr>
                <w:ilvl w:val="-1"/>
                <w:numId w:val="0"/>
              </w:numPr>
              <w:spacing w:line="360" w:lineRule="auto"/>
              <w:jc w:val="left"/>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施工人员在施工现场抽烟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施工现场位于森林草原区域从重处罚</w:t>
            </w:r>
            <w:r>
              <w:rPr>
                <w:rFonts w:hint="eastAsia" w:ascii="宋体" w:hAnsi="宋体" w:eastAsia="宋体" w:cs="宋体"/>
                <w:sz w:val="24"/>
                <w:szCs w:val="24"/>
                <w:highlight w:val="none"/>
                <w:lang w:eastAsia="zh-CN"/>
              </w:rPr>
              <w:t>）</w:t>
            </w:r>
          </w:p>
        </w:tc>
        <w:tc>
          <w:tcPr>
            <w:tcW w:w="1211" w:type="dxa"/>
            <w:vAlign w:val="center"/>
          </w:tcPr>
          <w:p w14:paraId="31F5BDA6">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w:t>
            </w:r>
          </w:p>
        </w:tc>
        <w:tc>
          <w:tcPr>
            <w:tcW w:w="1482" w:type="dxa"/>
            <w:vAlign w:val="center"/>
          </w:tcPr>
          <w:p w14:paraId="6377263A">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r>
      <w:tr w14:paraId="2D88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542BA6A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36</w:t>
            </w:r>
          </w:p>
        </w:tc>
        <w:tc>
          <w:tcPr>
            <w:tcW w:w="5520" w:type="dxa"/>
          </w:tcPr>
          <w:p w14:paraId="6DA1292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高处作业人员未佩戴安全带。</w:t>
            </w:r>
          </w:p>
        </w:tc>
        <w:tc>
          <w:tcPr>
            <w:tcW w:w="1211" w:type="dxa"/>
            <w:vAlign w:val="center"/>
          </w:tcPr>
          <w:p w14:paraId="7507340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243F2FC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7C6A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2C2A11D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37</w:t>
            </w:r>
          </w:p>
        </w:tc>
        <w:tc>
          <w:tcPr>
            <w:tcW w:w="5520" w:type="dxa"/>
          </w:tcPr>
          <w:p w14:paraId="6D73B66E">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电工作业人员未穿绝缘手套、绝缘鞋。</w:t>
            </w:r>
          </w:p>
        </w:tc>
        <w:tc>
          <w:tcPr>
            <w:tcW w:w="1211" w:type="dxa"/>
            <w:vAlign w:val="center"/>
          </w:tcPr>
          <w:p w14:paraId="53E6A8B8">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14426FA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663F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1638D1EC">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38</w:t>
            </w:r>
          </w:p>
        </w:tc>
        <w:tc>
          <w:tcPr>
            <w:tcW w:w="5520" w:type="dxa"/>
          </w:tcPr>
          <w:p w14:paraId="7CB2BBAD">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动火作业人员未佩戴防护面罩、焊接手套。</w:t>
            </w:r>
          </w:p>
        </w:tc>
        <w:tc>
          <w:tcPr>
            <w:tcW w:w="1211" w:type="dxa"/>
            <w:vAlign w:val="center"/>
          </w:tcPr>
          <w:p w14:paraId="47290A9B">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w:t>
            </w:r>
          </w:p>
        </w:tc>
        <w:tc>
          <w:tcPr>
            <w:tcW w:w="1482" w:type="dxa"/>
            <w:vAlign w:val="center"/>
          </w:tcPr>
          <w:p w14:paraId="4908A06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2000</w:t>
            </w:r>
          </w:p>
        </w:tc>
      </w:tr>
      <w:tr w14:paraId="199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6E8A365F">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39</w:t>
            </w:r>
          </w:p>
        </w:tc>
        <w:tc>
          <w:tcPr>
            <w:tcW w:w="5520" w:type="dxa"/>
          </w:tcPr>
          <w:p w14:paraId="4CBE98FC">
            <w:pPr>
              <w:numPr>
                <w:ilvl w:val="-1"/>
                <w:numId w:val="0"/>
              </w:numPr>
              <w:spacing w:line="360" w:lineRule="auto"/>
              <w:jc w:val="left"/>
              <w:rPr>
                <w:rFonts w:hint="eastAsia" w:ascii="宋体" w:hAnsi="宋体" w:eastAsia="宋体" w:cs="宋体"/>
                <w:sz w:val="24"/>
                <w:szCs w:val="24"/>
                <w:highlight w:val="none"/>
                <w:lang w:eastAsia="zh-CN"/>
              </w:rPr>
            </w:pPr>
            <w:r>
              <w:rPr>
                <w:rFonts w:ascii="宋体" w:hAnsi="宋体" w:eastAsia="宋体" w:cs="宋体"/>
                <w:sz w:val="24"/>
                <w:szCs w:val="24"/>
                <w:highlight w:val="none"/>
              </w:rPr>
              <w:t>有限空间作业未配置空气检测仪，未佩戴长管呼吸器或正压呼吸器</w:t>
            </w:r>
            <w:r>
              <w:rPr>
                <w:rFonts w:hint="eastAsia" w:ascii="宋体" w:hAnsi="宋体" w:eastAsia="宋体" w:cs="宋体"/>
                <w:sz w:val="24"/>
                <w:szCs w:val="24"/>
                <w:highlight w:val="none"/>
                <w:lang w:eastAsia="zh-CN"/>
              </w:rPr>
              <w:t>。</w:t>
            </w:r>
          </w:p>
        </w:tc>
        <w:tc>
          <w:tcPr>
            <w:tcW w:w="1211" w:type="dxa"/>
            <w:vAlign w:val="center"/>
          </w:tcPr>
          <w:p w14:paraId="2294A9C0">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1EB17AA7">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r w14:paraId="1915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vAlign w:val="center"/>
          </w:tcPr>
          <w:p w14:paraId="002F2391">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40</w:t>
            </w:r>
          </w:p>
        </w:tc>
        <w:tc>
          <w:tcPr>
            <w:tcW w:w="5520" w:type="dxa"/>
          </w:tcPr>
          <w:p w14:paraId="05821EEB">
            <w:pPr>
              <w:numPr>
                <w:ilvl w:val="-1"/>
                <w:numId w:val="0"/>
              </w:numPr>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施工人员在工作期间饮酒，或酒后上岗</w:t>
            </w:r>
          </w:p>
        </w:tc>
        <w:tc>
          <w:tcPr>
            <w:tcW w:w="1211" w:type="dxa"/>
            <w:vAlign w:val="center"/>
          </w:tcPr>
          <w:p w14:paraId="7946B3F3">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1000</w:t>
            </w:r>
          </w:p>
        </w:tc>
        <w:tc>
          <w:tcPr>
            <w:tcW w:w="1482" w:type="dxa"/>
            <w:vAlign w:val="center"/>
          </w:tcPr>
          <w:p w14:paraId="00EDB462">
            <w:pPr>
              <w:numPr>
                <w:ilvl w:val="-1"/>
                <w:numId w:val="0"/>
              </w:numPr>
              <w:spacing w:line="360" w:lineRule="auto"/>
              <w:jc w:val="center"/>
              <w:rPr>
                <w:rFonts w:hint="default" w:asciiTheme="minorEastAsia" w:hAnsiTheme="minorEastAsia" w:eastAsiaTheme="minorEastAsia" w:cstheme="minorEastAsia"/>
                <w:sz w:val="28"/>
                <w:szCs w:val="28"/>
                <w:highlight w:val="none"/>
                <w:vertAlign w:val="baseline"/>
                <w:lang w:val="en-US" w:eastAsia="zh-CN"/>
              </w:rPr>
            </w:pPr>
            <w:r>
              <w:rPr>
                <w:rFonts w:hint="eastAsia" w:asciiTheme="minorEastAsia" w:hAnsiTheme="minorEastAsia" w:eastAsiaTheme="minorEastAsia" w:cstheme="minorEastAsia"/>
                <w:sz w:val="28"/>
                <w:szCs w:val="28"/>
                <w:highlight w:val="none"/>
                <w:vertAlign w:val="baseline"/>
                <w:lang w:val="en-US" w:eastAsia="zh-CN"/>
              </w:rPr>
              <w:t>5000或停工整改</w:t>
            </w:r>
          </w:p>
        </w:tc>
      </w:tr>
    </w:tbl>
    <w:p w14:paraId="0DC3CD1F">
      <w:pPr>
        <w:pStyle w:val="8"/>
        <w:spacing w:line="560" w:lineRule="exact"/>
        <w:ind w:left="0" w:leftChars="0" w:firstLine="560" w:firstLineChars="200"/>
        <w:jc w:val="left"/>
        <w:rPr>
          <w:rFonts w:hint="eastAsia" w:asciiTheme="minorEastAsia" w:hAnsiTheme="minorEastAsia" w:eastAsiaTheme="minorEastAsia" w:cstheme="minorEastAsia"/>
          <w:sz w:val="28"/>
          <w:szCs w:val="28"/>
          <w:highlight w:val="none"/>
        </w:rPr>
      </w:pPr>
      <w:r>
        <w:rPr>
          <w:rFonts w:hint="eastAsia" w:ascii="仿宋" w:hAnsi="仿宋" w:eastAsia="仿宋" w:cs="仿宋"/>
          <w:color w:val="auto"/>
          <w:kern w:val="2"/>
          <w:sz w:val="28"/>
          <w:szCs w:val="24"/>
          <w:highlight w:val="none"/>
          <w:lang w:val="en-US" w:eastAsia="zh-CN" w:bidi="ar-SA"/>
        </w:rPr>
        <w:t>二十、本合同作为附件，与</w:t>
      </w:r>
      <w:r>
        <w:rPr>
          <w:rFonts w:hint="eastAsia" w:ascii="仿宋" w:hAnsi="仿宋" w:eastAsia="仿宋" w:cs="仿宋"/>
          <w:b w:val="0"/>
          <w:color w:val="auto"/>
          <w:kern w:val="2"/>
          <w:sz w:val="28"/>
          <w:szCs w:val="24"/>
          <w:highlight w:val="none"/>
          <w:u w:val="none"/>
          <w:lang w:val="en-US" w:eastAsia="zh-CN"/>
        </w:rPr>
        <w:t>《</w:t>
      </w:r>
      <w:r>
        <w:rPr>
          <w:rFonts w:hint="eastAsia" w:ascii="仿宋" w:hAnsi="仿宋" w:eastAsia="仿宋" w:cs="仿宋"/>
          <w:b w:val="0"/>
          <w:color w:val="auto"/>
          <w:sz w:val="28"/>
          <w:szCs w:val="22"/>
          <w:highlight w:val="none"/>
          <w:lang w:val="en-US" w:eastAsia="zh-CN"/>
        </w:rPr>
        <w:t>G0615线久治至马尔康段高速公路刷经寺服务区充电站项目建设工程</w:t>
      </w:r>
      <w:r>
        <w:rPr>
          <w:rFonts w:hint="eastAsia" w:ascii="仿宋" w:hAnsi="仿宋" w:eastAsia="仿宋" w:cs="仿宋"/>
          <w:b w:val="0"/>
          <w:bCs w:val="0"/>
          <w:color w:val="auto"/>
          <w:kern w:val="2"/>
          <w:sz w:val="28"/>
          <w:szCs w:val="28"/>
          <w:highlight w:val="none"/>
          <w:lang w:val="en-US" w:eastAsia="zh-CN" w:bidi="ar-SA"/>
        </w:rPr>
        <w:t>施</w:t>
      </w:r>
      <w:r>
        <w:rPr>
          <w:rFonts w:hint="eastAsia" w:ascii="仿宋" w:hAnsi="仿宋" w:eastAsia="仿宋" w:cs="仿宋"/>
          <w:b w:val="0"/>
          <w:bCs w:val="0"/>
          <w:color w:val="auto"/>
          <w:kern w:val="2"/>
          <w:sz w:val="28"/>
          <w:szCs w:val="22"/>
          <w:highlight w:val="none"/>
          <w:lang w:val="en-US" w:eastAsia="zh-CN" w:bidi="en-US"/>
        </w:rPr>
        <w:t>工</w:t>
      </w:r>
      <w:r>
        <w:rPr>
          <w:rFonts w:hint="eastAsia" w:ascii="仿宋" w:hAnsi="仿宋" w:eastAsia="仿宋" w:cs="仿宋"/>
          <w:b w:val="0"/>
          <w:color w:val="auto"/>
          <w:sz w:val="28"/>
          <w:szCs w:val="22"/>
          <w:highlight w:val="none"/>
        </w:rPr>
        <w:t>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）具有同等的法律效力，经合同双方签署立即生效。本合同一式捌份，由甲方执肆份，乙方执肆份。</w:t>
      </w:r>
    </w:p>
    <w:p w14:paraId="485D7BD7">
      <w:pPr>
        <w:spacing w:line="360" w:lineRule="auto"/>
        <w:ind w:firstLine="560" w:firstLineChars="200"/>
        <w:jc w:val="left"/>
        <w:rPr>
          <w:rFonts w:hint="eastAsia" w:ascii="仿宋" w:hAnsi="仿宋" w:eastAsia="仿宋" w:cs="仿宋"/>
          <w:color w:val="auto"/>
          <w:sz w:val="28"/>
          <w:szCs w:val="24"/>
          <w:highlight w:val="none"/>
          <w:lang w:val="en-US" w:eastAsia="zh-CN"/>
        </w:rPr>
      </w:pPr>
      <w:r>
        <w:rPr>
          <w:rFonts w:hint="eastAsia" w:ascii="仿宋" w:hAnsi="仿宋" w:eastAsia="仿宋" w:cs="仿宋"/>
          <w:color w:val="auto"/>
          <w:sz w:val="28"/>
          <w:szCs w:val="24"/>
          <w:highlight w:val="none"/>
          <w:lang w:val="en-US" w:eastAsia="zh-CN"/>
        </w:rPr>
        <w:t>以下无正文。</w:t>
      </w: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0021A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2592B1D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2DAA6B9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3404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091ADC5C">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14369F6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1D3E481B">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0E948E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88C2F57">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2546A0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21BE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65546EB5">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签订日期：</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3D1A026C">
      <w:pPr>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br w:type="page"/>
      </w:r>
    </w:p>
    <w:p w14:paraId="7A51A0CE">
      <w:pPr>
        <w:pStyle w:val="11"/>
        <w:spacing w:before="156" w:beforeLines="50" w:after="156" w:afterLines="50"/>
        <w:rPr>
          <w:rFonts w:ascii="Times New Roman" w:hAnsi="Times New Roman" w:cs="Times New Roman"/>
          <w:b/>
          <w:color w:val="auto"/>
          <w:sz w:val="24"/>
          <w:highlight w:val="none"/>
        </w:rPr>
      </w:pPr>
      <w:r>
        <w:rPr>
          <w:rFonts w:hint="default" w:ascii="Times New Roman" w:hAnsi="Times New Roman" w:cs="Times New Roman"/>
          <w:b/>
          <w:color w:val="auto"/>
          <w:sz w:val="24"/>
          <w:highlight w:val="none"/>
        </w:rPr>
        <w:t>附件</w:t>
      </w:r>
      <w:r>
        <w:rPr>
          <w:rFonts w:hint="eastAsia" w:ascii="Times New Roman" w:hAnsi="Times New Roman" w:cs="Times New Roman"/>
          <w:b/>
          <w:color w:val="auto"/>
          <w:sz w:val="24"/>
          <w:highlight w:val="none"/>
          <w:lang w:val="en-US" w:eastAsia="zh-CN"/>
        </w:rPr>
        <w:t>3</w:t>
      </w:r>
      <w:r>
        <w:rPr>
          <w:rFonts w:hint="default" w:ascii="Times New Roman" w:hAnsi="Times New Roman" w:cs="Times New Roman"/>
          <w:b/>
          <w:color w:val="auto"/>
          <w:sz w:val="24"/>
          <w:highlight w:val="none"/>
        </w:rPr>
        <w:t xml:space="preserve"> </w:t>
      </w:r>
    </w:p>
    <w:p w14:paraId="497330F8">
      <w:pPr>
        <w:jc w:val="center"/>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b/>
          <w:color w:val="auto"/>
          <w:kern w:val="0"/>
          <w:sz w:val="32"/>
          <w:szCs w:val="32"/>
          <w:highlight w:val="none"/>
        </w:rPr>
        <w:t>廉政合同</w:t>
      </w:r>
    </w:p>
    <w:p w14:paraId="45521449">
      <w:pPr>
        <w:pStyle w:val="8"/>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编 号：</w:t>
      </w:r>
    </w:p>
    <w:p w14:paraId="66422AE1">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为共同维护公平、公正、廉洁的市场秩序，防止商业贿赂，避免违规违纪行为的发生，共同维护职业行为的廉洁性，甲乙双方在</w:t>
      </w:r>
      <w:r>
        <w:rPr>
          <w:rFonts w:hint="eastAsia" w:ascii="仿宋" w:hAnsi="仿宋" w:eastAsia="仿宋" w:cs="仿宋"/>
          <w:b w:val="0"/>
          <w:color w:val="auto"/>
          <w:kern w:val="2"/>
          <w:sz w:val="28"/>
          <w:szCs w:val="22"/>
          <w:highlight w:val="none"/>
          <w:u w:val="none"/>
        </w:rPr>
        <w:t>四川蜀道</w:t>
      </w:r>
      <w:r>
        <w:rPr>
          <w:rFonts w:hint="eastAsia" w:ascii="仿宋" w:hAnsi="仿宋" w:eastAsia="仿宋" w:cs="仿宋"/>
          <w:b w:val="0"/>
          <w:color w:val="auto"/>
          <w:kern w:val="2"/>
          <w:sz w:val="28"/>
          <w:szCs w:val="22"/>
          <w:highlight w:val="none"/>
          <w:u w:val="none"/>
          <w:lang w:val="en-US" w:eastAsia="zh-CN"/>
        </w:rPr>
        <w:t>新能源科技发展有限公司《</w:t>
      </w:r>
      <w:r>
        <w:rPr>
          <w:rFonts w:hint="eastAsia" w:ascii="仿宋" w:hAnsi="仿宋" w:eastAsia="仿宋" w:cs="仿宋"/>
          <w:b w:val="0"/>
          <w:color w:val="auto"/>
          <w:sz w:val="28"/>
          <w:szCs w:val="22"/>
          <w:highlight w:val="none"/>
          <w:lang w:val="en-US" w:eastAsia="zh-CN"/>
        </w:rPr>
        <w:t>G0615线久治至马尔康段高速公路刷经寺服务区充电站项目建设工程</w:t>
      </w:r>
      <w:r>
        <w:rPr>
          <w:rFonts w:hint="eastAsia" w:ascii="仿宋" w:hAnsi="仿宋" w:eastAsia="仿宋" w:cs="仿宋"/>
          <w:b w:val="0"/>
          <w:color w:val="auto"/>
          <w:sz w:val="28"/>
          <w:szCs w:val="22"/>
          <w:highlight w:val="none"/>
        </w:rPr>
        <w:t>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sz w:val="28"/>
          <w:highlight w:val="none"/>
        </w:rPr>
        <w:t>的签定及实施过程中，应共同遵守以下条款：</w:t>
      </w:r>
    </w:p>
    <w:p w14:paraId="089E485E">
      <w:pPr>
        <w:pStyle w:val="11"/>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color w:val="auto"/>
          <w:kern w:val="2"/>
          <w:sz w:val="28"/>
          <w:szCs w:val="24"/>
          <w:highlight w:val="none"/>
          <w:lang w:val="en-US" w:eastAsia="zh-CN" w:bidi="ar-SA"/>
        </w:rPr>
      </w:pPr>
      <w:r>
        <w:rPr>
          <w:rFonts w:hint="eastAsia" w:ascii="仿宋" w:hAnsi="仿宋" w:eastAsia="仿宋" w:cs="仿宋"/>
          <w:b/>
          <w:bCs/>
          <w:color w:val="auto"/>
          <w:kern w:val="2"/>
          <w:sz w:val="28"/>
          <w:szCs w:val="24"/>
          <w:highlight w:val="none"/>
          <w:lang w:val="en-US" w:eastAsia="zh-CN" w:bidi="ar-SA"/>
        </w:rPr>
        <w:t>第一条  甲乙双方的权利和义务</w:t>
      </w:r>
    </w:p>
    <w:p w14:paraId="6FD976C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1.严格遵守党和国家有关法律法规及交通运输部的有关规定。</w:t>
      </w:r>
    </w:p>
    <w:p w14:paraId="6D9B6652">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2.严格执行本项目的合同文件，自觉按合同办事。</w:t>
      </w:r>
    </w:p>
    <w:p w14:paraId="0942C94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3.双方的业务活动坚持公开、公正、诚信、透明的原则(除法律认定的商业秘密和合同文件另有规定之外)，不得损害国家和集体利益，不得违反相关管理规章制度。</w:t>
      </w:r>
    </w:p>
    <w:p w14:paraId="0A5FFDCC">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4.建立健全相关机制，开展廉政教育，公布举报电话，监督并认真查处违法违纪行为。</w:t>
      </w:r>
    </w:p>
    <w:p w14:paraId="3B09D616">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5.发现对方在业务活动中有违反廉政规定的行为，有及时提醒对方纠正的权利和义务。</w:t>
      </w:r>
    </w:p>
    <w:p w14:paraId="382BFB98">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Ansi="宋体" w:cs="Times New Roman"/>
          <w:sz w:val="24"/>
          <w:szCs w:val="24"/>
          <w:highlight w:val="none"/>
        </w:rPr>
      </w:pPr>
      <w:r>
        <w:rPr>
          <w:rFonts w:hint="eastAsia" w:ascii="仿宋" w:hAnsi="仿宋" w:eastAsia="仿宋" w:cs="仿宋"/>
          <w:color w:val="auto"/>
          <w:kern w:val="2"/>
          <w:sz w:val="28"/>
          <w:szCs w:val="24"/>
          <w:highlight w:val="none"/>
          <w:lang w:val="en-US" w:eastAsia="zh-CN" w:bidi="ar-SA"/>
        </w:rPr>
        <w:t>6.发现对方严重违反本合同义务条款的行为，有向其上级有关部门举报，建议给予处理并要求告知处理结果的权利。</w:t>
      </w:r>
    </w:p>
    <w:p w14:paraId="2D2A4C0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第二条  </w:t>
      </w:r>
      <w:r>
        <w:rPr>
          <w:rFonts w:hint="eastAsia" w:ascii="仿宋" w:hAnsi="仿宋" w:eastAsia="仿宋" w:cs="仿宋"/>
          <w:b/>
          <w:bCs/>
          <w:color w:val="auto"/>
          <w:sz w:val="28"/>
          <w:highlight w:val="none"/>
        </w:rPr>
        <w:t>甲方</w:t>
      </w:r>
      <w:r>
        <w:rPr>
          <w:rFonts w:hint="eastAsia" w:ascii="仿宋" w:hAnsi="仿宋" w:eastAsia="仿宋" w:cs="仿宋"/>
          <w:b/>
          <w:bCs/>
          <w:color w:val="auto"/>
          <w:sz w:val="28"/>
          <w:highlight w:val="none"/>
          <w:lang w:val="en-US" w:eastAsia="zh-CN"/>
        </w:rPr>
        <w:t>的义务</w:t>
      </w:r>
    </w:p>
    <w:p w14:paraId="7A277DB6">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1.甲方及其工作人员不索取或接受乙方提供的</w:t>
      </w:r>
      <w:r>
        <w:rPr>
          <w:rFonts w:hint="eastAsia" w:ascii="仿宋" w:hAnsi="仿宋" w:eastAsia="仿宋" w:cs="仿宋"/>
          <w:color w:val="auto"/>
          <w:sz w:val="28"/>
          <w:highlight w:val="none"/>
          <w:lang w:val="en-US" w:eastAsia="zh-CN"/>
        </w:rPr>
        <w:t>土特产、</w:t>
      </w:r>
      <w:r>
        <w:rPr>
          <w:rFonts w:hint="eastAsia" w:ascii="仿宋" w:hAnsi="仿宋" w:eastAsia="仿宋" w:cs="仿宋"/>
          <w:color w:val="auto"/>
          <w:sz w:val="28"/>
          <w:highlight w:val="none"/>
        </w:rPr>
        <w:t>礼品、礼金、有价证券、支付凭证、商业回扣等一切物质性利益</w:t>
      </w:r>
      <w:r>
        <w:rPr>
          <w:rFonts w:hint="eastAsia" w:ascii="仿宋" w:hAnsi="仿宋" w:eastAsia="仿宋" w:cs="仿宋"/>
          <w:color w:val="auto"/>
          <w:sz w:val="28"/>
          <w:highlight w:val="none"/>
          <w:lang w:eastAsia="zh-CN"/>
        </w:rPr>
        <w:t>，</w:t>
      </w:r>
      <w:r>
        <w:rPr>
          <w:rFonts w:hint="eastAsia" w:ascii="仿宋" w:hAnsi="仿宋" w:eastAsia="仿宋" w:cs="仿宋"/>
          <w:color w:val="auto"/>
          <w:sz w:val="28"/>
          <w:highlight w:val="none"/>
          <w:lang w:val="en-US" w:eastAsia="zh-CN"/>
        </w:rPr>
        <w:t>不得</w:t>
      </w:r>
      <w:r>
        <w:rPr>
          <w:rFonts w:hint="eastAsia" w:ascii="仿宋" w:hAnsi="仿宋" w:eastAsia="仿宋" w:cs="仿宋"/>
          <w:color w:val="auto"/>
          <w:sz w:val="28"/>
          <w:highlight w:val="none"/>
        </w:rPr>
        <w:t xml:space="preserve">在乙方报销任何应由甲方或个人支付的费用等。 </w:t>
      </w:r>
    </w:p>
    <w:p w14:paraId="3910ACEF">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2.甲方工作人员不得参加乙方安排的超标准宴请、娱乐活动和旅游考察，不得接受乙方提供的通讯工具、交通工具和高档办公用品等。</w:t>
      </w:r>
    </w:p>
    <w:p w14:paraId="225BE90D">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3.甲方工作人员不得要求或者接受乙方为其住房装修、婚丧嫁娶活动、配偶子女的工作安排以及出国、出境旅游等提供方便等。</w:t>
      </w:r>
    </w:p>
    <w:p w14:paraId="69F395FB">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4.甲方工作人员不介绍自己的配偶、子女或其他特定关系人与乙方企业发生经济业务关系。</w:t>
      </w:r>
    </w:p>
    <w:p w14:paraId="691372F3">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lang w:val="en-US" w:eastAsia="zh-CN"/>
        </w:rPr>
      </w:pPr>
      <w:r>
        <w:rPr>
          <w:rFonts w:hint="eastAsia" w:ascii="仿宋" w:hAnsi="仿宋" w:eastAsia="仿宋" w:cs="仿宋"/>
          <w:b/>
          <w:bCs/>
          <w:color w:val="auto"/>
          <w:sz w:val="28"/>
          <w:highlight w:val="none"/>
          <w:lang w:val="en-US" w:eastAsia="zh-CN"/>
        </w:rPr>
        <w:t xml:space="preserve">第三条  </w:t>
      </w:r>
      <w:r>
        <w:rPr>
          <w:rFonts w:hint="eastAsia" w:ascii="仿宋" w:hAnsi="仿宋" w:eastAsia="仿宋" w:cs="仿宋"/>
          <w:b/>
          <w:bCs/>
          <w:color w:val="auto"/>
          <w:sz w:val="28"/>
          <w:highlight w:val="none"/>
        </w:rPr>
        <w:t>乙方</w:t>
      </w:r>
      <w:r>
        <w:rPr>
          <w:rFonts w:hint="eastAsia" w:ascii="仿宋" w:hAnsi="仿宋" w:eastAsia="仿宋" w:cs="仿宋"/>
          <w:b/>
          <w:bCs/>
          <w:color w:val="auto"/>
          <w:sz w:val="28"/>
          <w:highlight w:val="none"/>
          <w:lang w:val="en-US" w:eastAsia="zh-CN"/>
        </w:rPr>
        <w:t>的义务</w:t>
      </w:r>
    </w:p>
    <w:p w14:paraId="089A0294">
      <w:pPr>
        <w:pStyle w:val="11"/>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1.乙方不得以任何理由向甲方工作人员行贿或馈赠土特产、礼品、礼金、有价证券、支付凭证、商业回扣等</w:t>
      </w:r>
      <w:r>
        <w:rPr>
          <w:rFonts w:hint="eastAsia" w:ascii="仿宋" w:hAnsi="仿宋" w:eastAsia="仿宋" w:cs="仿宋"/>
          <w:color w:val="auto"/>
          <w:sz w:val="28"/>
          <w:highlight w:val="none"/>
        </w:rPr>
        <w:t>一切物质性利益</w:t>
      </w:r>
      <w:r>
        <w:rPr>
          <w:rFonts w:hint="eastAsia" w:ascii="仿宋" w:hAnsi="仿宋" w:eastAsia="仿宋" w:cs="仿宋"/>
          <w:color w:val="auto"/>
          <w:sz w:val="28"/>
          <w:highlight w:val="none"/>
          <w:lang w:eastAsia="zh-CN"/>
        </w:rPr>
        <w:t>。</w:t>
      </w:r>
    </w:p>
    <w:p w14:paraId="4B8E5D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2.乙方不以任何理由安排甲方工作人员参加宴请、娱乐</w:t>
      </w:r>
      <w:r>
        <w:rPr>
          <w:rFonts w:hint="eastAsia" w:ascii="仿宋" w:hAnsi="仿宋" w:eastAsia="仿宋" w:cs="仿宋"/>
          <w:color w:val="auto"/>
          <w:sz w:val="28"/>
          <w:highlight w:val="none"/>
          <w:lang w:val="en-US" w:eastAsia="zh-CN"/>
        </w:rPr>
        <w:t>活动</w:t>
      </w:r>
      <w:r>
        <w:rPr>
          <w:rFonts w:hint="eastAsia" w:ascii="仿宋" w:hAnsi="仿宋" w:eastAsia="仿宋" w:cs="仿宋"/>
          <w:color w:val="auto"/>
          <w:sz w:val="28"/>
          <w:highlight w:val="none"/>
        </w:rPr>
        <w:t>、旅游考察等消费活动。</w:t>
      </w:r>
    </w:p>
    <w:p w14:paraId="77D9A5BC">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3.乙方不以任何名义为甲方工作人员报销</w:t>
      </w:r>
      <w:r>
        <w:rPr>
          <w:rFonts w:hint="eastAsia" w:ascii="仿宋" w:hAnsi="仿宋" w:eastAsia="仿宋" w:cs="仿宋"/>
          <w:color w:val="auto"/>
          <w:sz w:val="28"/>
          <w:highlight w:val="none"/>
          <w:lang w:val="en-US" w:eastAsia="zh-CN"/>
        </w:rPr>
        <w:t>应</w:t>
      </w:r>
      <w:r>
        <w:rPr>
          <w:rFonts w:hint="eastAsia" w:ascii="仿宋" w:hAnsi="仿宋" w:eastAsia="仿宋" w:cs="仿宋"/>
          <w:color w:val="auto"/>
          <w:sz w:val="28"/>
          <w:highlight w:val="none"/>
        </w:rPr>
        <w:t>由甲方单位或个人承担的任何费用。</w:t>
      </w:r>
    </w:p>
    <w:p w14:paraId="4B928EC2">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color w:val="auto"/>
          <w:sz w:val="28"/>
          <w:highlight w:val="none"/>
        </w:rPr>
      </w:pPr>
      <w:r>
        <w:rPr>
          <w:rFonts w:hint="eastAsia" w:ascii="仿宋" w:hAnsi="仿宋" w:eastAsia="仿宋" w:cs="仿宋"/>
          <w:color w:val="auto"/>
          <w:sz w:val="28"/>
          <w:highlight w:val="none"/>
        </w:rPr>
        <w:t>4.乙方不为甲方工作人员及其配偶、子女或其他特定关系人在本企业投资入股或赠送“干股”。</w:t>
      </w:r>
    </w:p>
    <w:p w14:paraId="68770A54">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hint="eastAsia" w:ascii="仿宋" w:hAnsi="仿宋" w:eastAsia="仿宋" w:cs="仿宋"/>
          <w:b/>
          <w:bCs/>
          <w:color w:val="auto"/>
          <w:sz w:val="28"/>
          <w:highlight w:val="none"/>
        </w:rPr>
      </w:pPr>
      <w:r>
        <w:rPr>
          <w:rFonts w:hint="eastAsia" w:ascii="仿宋" w:hAnsi="仿宋" w:eastAsia="仿宋" w:cs="仿宋"/>
          <w:b/>
          <w:bCs/>
          <w:color w:val="auto"/>
          <w:sz w:val="28"/>
          <w:highlight w:val="none"/>
          <w:lang w:val="en-US" w:eastAsia="zh-CN"/>
        </w:rPr>
        <w:t xml:space="preserve">第四条  </w:t>
      </w:r>
      <w:r>
        <w:rPr>
          <w:rFonts w:hint="eastAsia" w:ascii="仿宋" w:hAnsi="仿宋" w:eastAsia="仿宋" w:cs="仿宋"/>
          <w:b/>
          <w:bCs/>
          <w:color w:val="auto"/>
          <w:sz w:val="28"/>
          <w:highlight w:val="none"/>
        </w:rPr>
        <w:t>责任追究</w:t>
      </w:r>
    </w:p>
    <w:p w14:paraId="2A6130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1.</w:t>
      </w:r>
      <w:r>
        <w:rPr>
          <w:rFonts w:hint="eastAsia" w:ascii="仿宋" w:hAnsi="仿宋" w:eastAsia="仿宋" w:cs="仿宋"/>
          <w:color w:val="auto"/>
          <w:sz w:val="28"/>
          <w:highlight w:val="none"/>
        </w:rPr>
        <w:t>甲方工作人员违反廉政合同的，按照干部管理权限，依据有关规定给予党纪、行政处分；涉嫌犯罪的，移送司法机关</w:t>
      </w:r>
      <w:r>
        <w:rPr>
          <w:rFonts w:hint="eastAsia" w:ascii="仿宋" w:hAnsi="仿宋" w:eastAsia="仿宋" w:cs="仿宋"/>
          <w:color w:val="auto"/>
          <w:kern w:val="2"/>
          <w:sz w:val="28"/>
          <w:szCs w:val="24"/>
          <w:highlight w:val="none"/>
          <w:lang w:val="en-US" w:eastAsia="zh-CN" w:bidi="ar-SA"/>
        </w:rPr>
        <w:t>。</w:t>
      </w:r>
    </w:p>
    <w:p w14:paraId="22D044AD">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2.乙方及其工作人员违反</w:t>
      </w:r>
      <w:r>
        <w:rPr>
          <w:rFonts w:hint="eastAsia" w:ascii="仿宋" w:hAnsi="仿宋" w:eastAsia="仿宋" w:cs="仿宋"/>
          <w:color w:val="auto"/>
          <w:sz w:val="28"/>
          <w:highlight w:val="none"/>
        </w:rPr>
        <w:t>廉政合同</w:t>
      </w:r>
      <w:r>
        <w:rPr>
          <w:rFonts w:hint="eastAsia" w:ascii="仿宋" w:hAnsi="仿宋" w:eastAsia="仿宋" w:cs="仿宋"/>
          <w:color w:val="auto"/>
          <w:kern w:val="2"/>
          <w:sz w:val="28"/>
          <w:szCs w:val="24"/>
          <w:highlight w:val="none"/>
          <w:lang w:val="en-US" w:eastAsia="zh-CN" w:bidi="ar-SA"/>
        </w:rPr>
        <w:t>造成经济损失的，应予以赔偿；甲方有权视其情节轻重决定暂时停止或长期中止与乙方所有经济业务合同。</w:t>
      </w:r>
    </w:p>
    <w:p w14:paraId="2690481F">
      <w:pPr>
        <w:pStyle w:val="8"/>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kern w:val="2"/>
          <w:sz w:val="28"/>
          <w:szCs w:val="24"/>
          <w:highlight w:val="none"/>
          <w:lang w:val="en-US" w:eastAsia="zh-CN" w:bidi="ar-SA"/>
        </w:rPr>
      </w:pPr>
      <w:r>
        <w:rPr>
          <w:rFonts w:hint="eastAsia" w:ascii="仿宋" w:hAnsi="仿宋" w:eastAsia="仿宋" w:cs="仿宋"/>
          <w:color w:val="auto"/>
          <w:kern w:val="2"/>
          <w:sz w:val="28"/>
          <w:szCs w:val="24"/>
          <w:highlight w:val="none"/>
          <w:lang w:val="en-US" w:eastAsia="zh-CN" w:bidi="ar-SA"/>
        </w:rPr>
        <w:t>3.本合同作为附件，与</w:t>
      </w:r>
      <w:r>
        <w:rPr>
          <w:rFonts w:hint="eastAsia" w:ascii="仿宋" w:hAnsi="仿宋" w:eastAsia="仿宋" w:cs="仿宋"/>
          <w:b w:val="0"/>
          <w:color w:val="auto"/>
          <w:kern w:val="2"/>
          <w:sz w:val="28"/>
          <w:szCs w:val="22"/>
          <w:highlight w:val="none"/>
          <w:u w:val="none"/>
          <w:lang w:val="en-US" w:eastAsia="zh-CN"/>
        </w:rPr>
        <w:t>《</w:t>
      </w:r>
      <w:r>
        <w:rPr>
          <w:rFonts w:hint="eastAsia" w:ascii="仿宋" w:hAnsi="仿宋" w:eastAsia="仿宋" w:cs="仿宋"/>
          <w:b w:val="0"/>
          <w:bCs w:val="0"/>
          <w:color w:val="auto"/>
          <w:kern w:val="2"/>
          <w:sz w:val="28"/>
          <w:szCs w:val="22"/>
          <w:highlight w:val="none"/>
          <w:lang w:val="en-US" w:eastAsia="zh-CN" w:bidi="en-US"/>
        </w:rPr>
        <w:t>G0615线久治至马尔康段高速公路刷经寺服务区充电站项目建设工程施工合同</w:t>
      </w:r>
      <w:r>
        <w:rPr>
          <w:rFonts w:hint="eastAsia" w:ascii="仿宋" w:hAnsi="仿宋" w:eastAsia="仿宋" w:cs="仿宋"/>
          <w:b w:val="0"/>
          <w:color w:val="auto"/>
          <w:kern w:val="2"/>
          <w:sz w:val="28"/>
          <w:szCs w:val="22"/>
          <w:highlight w:val="none"/>
          <w:u w:val="none"/>
          <w:lang w:eastAsia="zh-CN"/>
        </w:rPr>
        <w:t>》</w:t>
      </w:r>
      <w:r>
        <w:rPr>
          <w:rFonts w:hint="eastAsia" w:ascii="仿宋" w:hAnsi="仿宋" w:eastAsia="仿宋" w:cs="仿宋"/>
          <w:color w:val="auto"/>
          <w:kern w:val="2"/>
          <w:sz w:val="28"/>
          <w:szCs w:val="24"/>
          <w:highlight w:val="none"/>
          <w:lang w:val="en-US" w:eastAsia="zh-CN" w:bidi="ar-SA"/>
        </w:rPr>
        <w:t>（合同编号：     ）具有同等的法律效力，经合同双方签署立即生效。</w:t>
      </w:r>
    </w:p>
    <w:p w14:paraId="7B641E37">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 w:hAnsi="仿宋" w:eastAsia="仿宋" w:cs="仿宋"/>
          <w:color w:val="auto"/>
          <w:sz w:val="28"/>
          <w:highlight w:val="none"/>
        </w:rPr>
      </w:pPr>
      <w:r>
        <w:rPr>
          <w:rFonts w:hint="eastAsia" w:ascii="仿宋" w:hAnsi="仿宋" w:eastAsia="仿宋" w:cs="仿宋"/>
          <w:color w:val="auto"/>
          <w:kern w:val="2"/>
          <w:sz w:val="28"/>
          <w:szCs w:val="24"/>
          <w:highlight w:val="none"/>
          <w:lang w:val="en-US" w:eastAsia="zh-CN" w:bidi="ar-SA"/>
        </w:rPr>
        <w:t>4.本合同一式捌份，由甲方执肆份，乙方执肆份。</w:t>
      </w:r>
    </w:p>
    <w:p w14:paraId="1435A3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w:t>
      </w:r>
      <w:r>
        <w:rPr>
          <w:rFonts w:hint="eastAsia" w:ascii="仿宋" w:hAnsi="仿宋" w:eastAsia="仿宋" w:cs="Times New Roman"/>
          <w:color w:val="auto"/>
          <w:sz w:val="28"/>
          <w:szCs w:val="28"/>
          <w:highlight w:val="none"/>
          <w:lang w:val="en-US" w:eastAsia="zh-CN"/>
        </w:rPr>
        <w:t>以下无正文</w:t>
      </w:r>
      <w:r>
        <w:rPr>
          <w:rFonts w:hint="eastAsia" w:ascii="仿宋" w:hAnsi="仿宋" w:eastAsia="仿宋" w:cs="Times New Roman"/>
          <w:color w:val="auto"/>
          <w:sz w:val="28"/>
          <w:szCs w:val="28"/>
          <w:highlight w:val="none"/>
          <w:lang w:eastAsia="zh-CN"/>
        </w:rPr>
        <w:t>）</w:t>
      </w:r>
    </w:p>
    <w:p w14:paraId="539336C2">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kern w:val="2"/>
          <w:sz w:val="28"/>
          <w:szCs w:val="24"/>
          <w:highlight w:val="none"/>
          <w:lang w:val="en-US" w:eastAsia="zh-CN" w:bidi="ar-SA"/>
        </w:rPr>
      </w:pPr>
    </w:p>
    <w:tbl>
      <w:tblPr>
        <w:tblStyle w:val="16"/>
        <w:tblpPr w:leftFromText="180" w:rightFromText="180" w:vertAnchor="text" w:horzAnchor="page" w:tblpX="1845" w:tblpY="76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14:paraId="4C740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00" w:type="pct"/>
            <w:noWrap w:val="0"/>
            <w:vAlign w:val="top"/>
          </w:tcPr>
          <w:p w14:paraId="4CED51FD">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val="en-US" w:eastAsia="zh-CN"/>
              </w:rPr>
              <w:t>甲方（盖章）</w:t>
            </w:r>
            <w:r>
              <w:rPr>
                <w:rFonts w:hint="eastAsia" w:ascii="仿宋" w:hAnsi="仿宋" w:eastAsia="仿宋" w:cs="仿宋"/>
                <w:color w:val="auto"/>
                <w:sz w:val="28"/>
                <w:szCs w:val="28"/>
                <w:highlight w:val="none"/>
              </w:rPr>
              <w:t>：四川蜀道新能源科技发展有限公司</w:t>
            </w:r>
          </w:p>
        </w:tc>
        <w:tc>
          <w:tcPr>
            <w:tcW w:w="2500" w:type="pct"/>
            <w:noWrap w:val="0"/>
            <w:vAlign w:val="top"/>
          </w:tcPr>
          <w:p w14:paraId="53DFDD60">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仿宋" w:hAnsi="仿宋" w:eastAsia="仿宋" w:cs="仿宋"/>
                <w:color w:val="auto"/>
                <w:sz w:val="28"/>
                <w:szCs w:val="28"/>
                <w:highlight w:val="none"/>
                <w:vertAlign w:val="baseline"/>
                <w:lang w:val="en-US" w:eastAsia="zh-CN"/>
              </w:rPr>
            </w:pPr>
            <w:r>
              <w:rPr>
                <w:rFonts w:hint="eastAsia" w:ascii="仿宋" w:hAnsi="仿宋" w:eastAsia="仿宋" w:cs="仿宋"/>
                <w:color w:val="auto"/>
                <w:sz w:val="28"/>
                <w:szCs w:val="28"/>
                <w:highlight w:val="none"/>
                <w:lang w:val="en-US" w:eastAsia="zh-CN"/>
              </w:rPr>
              <w:t>乙方（盖章）</w:t>
            </w:r>
            <w:r>
              <w:rPr>
                <w:rFonts w:hint="eastAsia" w:ascii="仿宋" w:hAnsi="仿宋" w:eastAsia="仿宋" w:cs="仿宋"/>
                <w:color w:val="auto"/>
                <w:sz w:val="28"/>
                <w:szCs w:val="28"/>
                <w:highlight w:val="none"/>
              </w:rPr>
              <w:t>：</w:t>
            </w:r>
          </w:p>
        </w:tc>
      </w:tr>
      <w:tr w14:paraId="013DA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2500" w:type="pct"/>
            <w:noWrap w:val="0"/>
            <w:vAlign w:val="top"/>
          </w:tcPr>
          <w:p w14:paraId="7C8E0002">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2B5BCDC3">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44FBA996">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c>
          <w:tcPr>
            <w:tcW w:w="2500" w:type="pct"/>
            <w:noWrap w:val="0"/>
            <w:vAlign w:val="top"/>
          </w:tcPr>
          <w:p w14:paraId="088493E8">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rPr>
            </w:pPr>
          </w:p>
          <w:p w14:paraId="76254EFE">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法定代表人</w:t>
            </w:r>
            <w:r>
              <w:rPr>
                <w:rFonts w:hint="eastAsia" w:ascii="仿宋" w:hAnsi="仿宋" w:eastAsia="仿宋" w:cs="仿宋"/>
                <w:color w:val="auto"/>
                <w:sz w:val="28"/>
                <w:szCs w:val="28"/>
                <w:highlight w:val="none"/>
                <w:lang w:eastAsia="zh-CN"/>
              </w:rPr>
              <w:t>：</w:t>
            </w:r>
          </w:p>
          <w:p w14:paraId="05448F14">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签字</w:t>
            </w:r>
            <w:r>
              <w:rPr>
                <w:rFonts w:hint="eastAsia" w:ascii="仿宋" w:hAnsi="仿宋" w:eastAsia="仿宋" w:cs="仿宋"/>
                <w:color w:val="auto"/>
                <w:sz w:val="28"/>
                <w:szCs w:val="28"/>
                <w:highlight w:val="none"/>
                <w:lang w:eastAsia="zh-CN"/>
              </w:rPr>
              <w:t>）：</w:t>
            </w:r>
          </w:p>
        </w:tc>
      </w:tr>
      <w:tr w14:paraId="69CF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5000" w:type="pct"/>
            <w:gridSpan w:val="2"/>
            <w:noWrap w:val="0"/>
            <w:vAlign w:val="top"/>
          </w:tcPr>
          <w:p w14:paraId="50485709">
            <w:pPr>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eastAsia" w:ascii="仿宋" w:hAnsi="仿宋" w:eastAsia="仿宋" w:cs="仿宋"/>
                <w:color w:val="auto"/>
                <w:sz w:val="28"/>
                <w:szCs w:val="28"/>
                <w:highlight w:val="none"/>
                <w:vertAlign w:val="baseline"/>
              </w:rPr>
            </w:pPr>
            <w:r>
              <w:rPr>
                <w:rFonts w:hint="eastAsia" w:ascii="仿宋" w:hAnsi="仿宋" w:eastAsia="仿宋" w:cs="仿宋"/>
                <w:color w:val="auto"/>
                <w:sz w:val="28"/>
                <w:szCs w:val="28"/>
                <w:highlight w:val="none"/>
              </w:rPr>
              <w:t xml:space="preserve">签订日期：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tc>
      </w:tr>
    </w:tbl>
    <w:p w14:paraId="6D6E5BF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9ECCC2B">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1600E79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0091FE71">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274CD829">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52A8C1D">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5ED9652">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D776D47">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5622E2F5">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仿宋" w:hAnsi="仿宋" w:eastAsia="仿宋" w:cs="Times New Roman"/>
          <w:color w:val="auto"/>
          <w:sz w:val="28"/>
          <w:szCs w:val="28"/>
          <w:highlight w:val="none"/>
        </w:rPr>
      </w:pPr>
    </w:p>
    <w:p w14:paraId="6AF22D8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
          <w:color w:val="auto"/>
          <w:sz w:val="24"/>
          <w:highlight w:val="none"/>
        </w:rPr>
      </w:pPr>
    </w:p>
    <w:p w14:paraId="73A4398C">
      <w:pPr>
        <w:rPr>
          <w:rFonts w:hint="eastAsia" w:ascii="宋体" w:hAnsi="宋体" w:cs="宋体"/>
          <w:b/>
          <w:color w:val="auto"/>
          <w:sz w:val="24"/>
          <w:highlight w:val="none"/>
        </w:rPr>
      </w:pPr>
      <w:r>
        <w:rPr>
          <w:rFonts w:hint="eastAsia" w:ascii="宋体" w:hAnsi="宋体" w:cs="宋体"/>
          <w:b/>
          <w:color w:val="auto"/>
          <w:sz w:val="24"/>
          <w:highlight w:val="none"/>
        </w:rPr>
        <w:br w:type="page"/>
      </w:r>
    </w:p>
    <w:p w14:paraId="311865E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附件</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 xml:space="preserve">   履约保证金格式</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如采用银行保函</w:t>
      </w:r>
      <w:r>
        <w:rPr>
          <w:rFonts w:hint="eastAsia" w:ascii="宋体" w:hAnsi="宋体" w:eastAsia="宋体" w:cs="宋体"/>
          <w:b/>
          <w:color w:val="auto"/>
          <w:sz w:val="24"/>
          <w:highlight w:val="none"/>
          <w:lang w:eastAsia="zh-CN"/>
        </w:rPr>
        <w:t>）</w:t>
      </w:r>
    </w:p>
    <w:p w14:paraId="32161399">
      <w:pPr>
        <w:pStyle w:val="14"/>
        <w:ind w:left="0" w:leftChars="0" w:firstLine="0" w:firstLineChars="0"/>
        <w:rPr>
          <w:rFonts w:hint="eastAsia"/>
          <w:color w:val="auto"/>
          <w:highlight w:val="none"/>
        </w:rPr>
      </w:pPr>
      <w:r>
        <w:rPr>
          <w:rFonts w:hAnsi="宋体"/>
          <w:color w:val="auto"/>
          <w:sz w:val="24"/>
          <w:highlight w:val="none"/>
        </w:rPr>
        <w:t>格式如下：</w:t>
      </w:r>
    </w:p>
    <w:p w14:paraId="424DAD8B">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履约保证</w:t>
      </w:r>
      <w:r>
        <w:rPr>
          <w:rFonts w:hint="eastAsia" w:ascii="宋体" w:hAnsi="宋体" w:eastAsia="宋体" w:cs="宋体"/>
          <w:b/>
          <w:color w:val="auto"/>
          <w:sz w:val="30"/>
          <w:szCs w:val="30"/>
          <w:highlight w:val="none"/>
        </w:rPr>
        <w:t>金格式</w:t>
      </w:r>
    </w:p>
    <w:p w14:paraId="17E89278">
      <w:pPr>
        <w:rPr>
          <w:rFonts w:hint="eastAsia" w:ascii="宋体" w:hAnsi="宋体" w:cs="宋体"/>
          <w:color w:val="auto"/>
          <w:sz w:val="24"/>
          <w:highlight w:val="none"/>
        </w:rPr>
      </w:pPr>
    </w:p>
    <w:p w14:paraId="251856EA">
      <w:pPr>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w:t>
      </w:r>
    </w:p>
    <w:p w14:paraId="45F2A7A2">
      <w:pPr>
        <w:rPr>
          <w:rFonts w:hint="eastAsia" w:ascii="宋体" w:hAnsi="宋体" w:cs="宋体"/>
          <w:color w:val="auto"/>
          <w:szCs w:val="21"/>
          <w:highlight w:val="none"/>
        </w:rPr>
      </w:pPr>
    </w:p>
    <w:p w14:paraId="4EB6DF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（发包人名称，以下简称“发包人”）接受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（承包人名称）（以下称“承包人”）于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（项目名称）的</w:t>
      </w:r>
      <w:r>
        <w:rPr>
          <w:rFonts w:hint="eastAsia" w:ascii="宋体" w:hAnsi="宋体" w:cs="宋体"/>
          <w:color w:val="auto"/>
          <w:szCs w:val="21"/>
          <w:highlight w:val="none"/>
          <w:lang w:val="en-US" w:eastAsia="zh-CN"/>
        </w:rPr>
        <w:t>比选</w:t>
      </w:r>
      <w:r>
        <w:rPr>
          <w:rFonts w:hint="eastAsia" w:ascii="宋体" w:hAnsi="宋体" w:cs="宋体"/>
          <w:color w:val="auto"/>
          <w:szCs w:val="21"/>
          <w:highlight w:val="none"/>
        </w:rPr>
        <w:t>。我方愿意无条件地、不可撤销地就承包人履行与你方订立的合同，向你方提供担保。</w:t>
      </w:r>
    </w:p>
    <w:p w14:paraId="07CCFED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1.担保金额人民币（大写）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0EE912C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2.担保有效期自发包人与承包人签订的合同生效之日起至承包人履行合同完毕之日止。</w:t>
      </w:r>
    </w:p>
    <w:p w14:paraId="7B0DAAC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098A06A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4.发包人和承包人按合同条款变更合同时，我方承担本担保规定的义务不变。</w:t>
      </w:r>
    </w:p>
    <w:p w14:paraId="4FFBC0C0">
      <w:pPr>
        <w:rPr>
          <w:rFonts w:hint="eastAsia" w:ascii="宋体" w:hAnsi="宋体" w:cs="宋体"/>
          <w:color w:val="auto"/>
          <w:szCs w:val="21"/>
          <w:highlight w:val="none"/>
        </w:rPr>
      </w:pPr>
    </w:p>
    <w:p w14:paraId="14259181">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担 保 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（盖单位章）</w:t>
      </w:r>
    </w:p>
    <w:p w14:paraId="74FA0F64">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法定代表人或负责人（或其委托代理人）：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w:t>
      </w:r>
    </w:p>
    <w:p w14:paraId="220CD65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8E10462">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3558FB7D">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779D366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23C2017E">
      <w:pPr>
        <w:rPr>
          <w:rFonts w:hint="eastAsia" w:ascii="宋体" w:hAnsi="宋体" w:cs="宋体"/>
          <w:color w:val="auto"/>
          <w:szCs w:val="21"/>
          <w:highlight w:val="none"/>
        </w:rPr>
      </w:pPr>
    </w:p>
    <w:p w14:paraId="2B950F39">
      <w:pPr>
        <w:rPr>
          <w:rFonts w:hint="eastAsia" w:ascii="宋体" w:hAnsi="宋体" w:cs="宋体"/>
          <w:color w:val="auto"/>
          <w:szCs w:val="21"/>
          <w:highlight w:val="none"/>
        </w:rPr>
      </w:pPr>
    </w:p>
    <w:p w14:paraId="6D3A90EA">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215D237">
      <w:pPr>
        <w:rPr>
          <w:rFonts w:hint="eastAsia" w:ascii="宋体" w:hAnsi="宋体" w:cs="宋体"/>
          <w:color w:val="auto"/>
          <w:szCs w:val="21"/>
          <w:highlight w:val="none"/>
        </w:rPr>
      </w:pPr>
    </w:p>
    <w:p w14:paraId="5F0ABA8E">
      <w:pPr>
        <w:pStyle w:val="11"/>
        <w:adjustRightInd w:val="0"/>
        <w:snapToGrid w:val="0"/>
        <w:spacing w:line="360" w:lineRule="auto"/>
        <w:ind w:firstLine="420" w:firstLineChars="200"/>
        <w:rPr>
          <w:rFonts w:hint="eastAsia" w:hAnsi="宋体" w:cs="宋体"/>
          <w:highlight w:val="none"/>
        </w:rPr>
      </w:pPr>
      <w:r>
        <w:rPr>
          <w:rFonts w:hint="eastAsia" w:hAnsi="宋体" w:cs="宋体"/>
          <w:highlight w:val="none"/>
        </w:rPr>
        <w:t>注：</w:t>
      </w:r>
    </w:p>
    <w:p w14:paraId="12CFD40C">
      <w:pPr>
        <w:pStyle w:val="11"/>
        <w:adjustRightInd w:val="0"/>
        <w:snapToGrid w:val="0"/>
        <w:spacing w:line="360" w:lineRule="auto"/>
        <w:ind w:firstLine="420" w:firstLineChars="200"/>
        <w:rPr>
          <w:rFonts w:hint="eastAsia" w:ascii="宋体" w:hAnsi="宋体" w:eastAsia="宋体" w:cs="宋体"/>
          <w:highlight w:val="none"/>
        </w:rPr>
      </w:pPr>
      <w:r>
        <w:rPr>
          <w:rFonts w:hint="eastAsia" w:hAnsi="宋体" w:cs="宋体"/>
          <w:bCs/>
          <w:highlight w:val="none"/>
        </w:rPr>
        <w:t>1</w:t>
      </w:r>
      <w:r>
        <w:rPr>
          <w:rFonts w:hint="eastAsia" w:hAnsi="宋体" w:cs="宋体"/>
          <w:b/>
          <w:highlight w:val="none"/>
        </w:rPr>
        <w:t>．</w:t>
      </w:r>
      <w:r>
        <w:rPr>
          <w:rFonts w:hint="eastAsia" w:hAnsi="宋体" w:cs="宋体"/>
          <w:highlight w:val="none"/>
        </w:rPr>
        <w:t>银行保函须</w:t>
      </w:r>
      <w:r>
        <w:rPr>
          <w:rFonts w:hint="eastAsia" w:ascii="宋体" w:hAnsi="宋体" w:eastAsia="宋体" w:cs="宋体"/>
          <w:highlight w:val="none"/>
          <w:lang w:val="en-US" w:eastAsia="zh-CN"/>
        </w:rPr>
        <w:t>由</w:t>
      </w:r>
      <w:r>
        <w:rPr>
          <w:rFonts w:hint="eastAsia" w:ascii="宋体" w:hAnsi="宋体" w:eastAsia="宋体" w:cs="宋体"/>
          <w:szCs w:val="21"/>
          <w:highlight w:val="none"/>
        </w:rPr>
        <w:t>具有国有背景的银行开具</w:t>
      </w:r>
      <w:r>
        <w:rPr>
          <w:rFonts w:hint="eastAsia" w:ascii="宋体" w:hAnsi="宋体" w:eastAsia="宋体" w:cs="宋体"/>
          <w:szCs w:val="21"/>
          <w:highlight w:val="none"/>
          <w:lang w:eastAsia="zh-CN"/>
        </w:rPr>
        <w:t>。</w:t>
      </w:r>
    </w:p>
    <w:p w14:paraId="1A901E7A">
      <w:pPr>
        <w:pStyle w:val="11"/>
        <w:keepNext w:val="0"/>
        <w:keepLines w:val="0"/>
        <w:adjustRightInd w:val="0"/>
        <w:snapToGrid w:val="0"/>
        <w:spacing w:line="360" w:lineRule="auto"/>
        <w:ind w:firstLine="420" w:firstLineChars="200"/>
        <w:jc w:val="left"/>
        <w:textAlignment w:val="auto"/>
        <w:rPr>
          <w:rFonts w:hint="eastAsia" w:hAnsi="宋体" w:cs="宋体"/>
          <w:highlight w:val="none"/>
        </w:rPr>
      </w:pPr>
      <w:r>
        <w:rPr>
          <w:rFonts w:hint="eastAsia" w:hAnsi="宋体" w:cs="宋体"/>
          <w:highlight w:val="none"/>
          <w:lang w:val="en-US" w:eastAsia="zh-CN"/>
        </w:rPr>
        <w:t>2</w:t>
      </w:r>
      <w:r>
        <w:rPr>
          <w:rFonts w:hint="eastAsia" w:hAnsi="宋体" w:cs="宋体"/>
          <w:highlight w:val="none"/>
        </w:rPr>
        <w:t>．若采用银行自有格式，其提交的银行保函内容不得作出降低担保效力的实质性修改，包括但不限于对担保金额、担保范围、担保期限、担保内容作出实质性修改。</w:t>
      </w:r>
    </w:p>
    <w:p w14:paraId="7B4EFCC4">
      <w:r>
        <w:rPr>
          <w:rFonts w:hint="eastAsia" w:hAnsi="宋体" w:cs="宋体"/>
          <w:highlight w:val="none"/>
          <w:lang w:val="en-US" w:eastAsia="zh-CN"/>
        </w:rPr>
        <w:t>3</w:t>
      </w:r>
      <w:r>
        <w:rPr>
          <w:rFonts w:hint="eastAsia" w:hAnsi="宋体" w:cs="宋体"/>
          <w:highlight w:val="none"/>
        </w:rPr>
        <w:t>．银行保函中</w:t>
      </w:r>
      <w:r>
        <w:rPr>
          <w:rFonts w:hint="eastAsia" w:ascii="宋体" w:hAnsi="宋体" w:cs="宋体"/>
          <w:color w:val="auto"/>
          <w:sz w:val="21"/>
          <w:szCs w:val="21"/>
          <w:highlight w:val="none"/>
          <w:lang w:val="en-US" w:eastAsia="zh-CN"/>
        </w:rPr>
        <w:t>比选申请</w:t>
      </w:r>
      <w:r>
        <w:rPr>
          <w:rFonts w:hint="eastAsia" w:hAnsi="宋体" w:cs="宋体"/>
          <w:highlight w:val="none"/>
        </w:rPr>
        <w:t>有效期若为具体的日期，应不短于</w:t>
      </w:r>
      <w:r>
        <w:rPr>
          <w:rFonts w:hint="eastAsia" w:ascii="宋体" w:hAnsi="宋体" w:cs="宋体"/>
          <w:sz w:val="21"/>
          <w:szCs w:val="21"/>
          <w:highlight w:val="none"/>
          <w:lang w:val="en-US" w:eastAsia="zh-CN"/>
        </w:rPr>
        <w:t>比选申请</w:t>
      </w:r>
      <w:r>
        <w:rPr>
          <w:rFonts w:hint="eastAsia" w:hAnsi="宋体" w:cs="宋体"/>
          <w:highlight w:val="none"/>
        </w:rPr>
        <w:t>有效期。</w:t>
      </w:r>
    </w:p>
    <w:p w14:paraId="1B8C98C9">
      <w:pPr>
        <w:pStyle w:val="3"/>
        <w:spacing w:line="360" w:lineRule="auto"/>
        <w:jc w:val="center"/>
        <w:rPr>
          <w:rFonts w:ascii="Times New Roman" w:hAnsi="Times New Roman" w:eastAsia="微软雅黑"/>
          <w:b w:val="0"/>
          <w:sz w:val="28"/>
          <w:szCs w:val="28"/>
          <w:highlight w:val="none"/>
        </w:rPr>
      </w:pPr>
    </w:p>
    <w:p w14:paraId="739241AE">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560" w:lineRule="exact"/>
        <w:jc w:val="left"/>
        <w:textAlignment w:val="auto"/>
        <w:rPr>
          <w:rFonts w:hint="eastAsia" w:ascii="Times New Roman" w:hAnsi="Times New Roman" w:eastAsia="宋体" w:cs="Times New Roman"/>
          <w:b/>
          <w:bCs/>
          <w:color w:val="000000"/>
          <w:kern w:val="44"/>
          <w:sz w:val="32"/>
          <w:szCs w:val="32"/>
          <w:highlight w:val="none"/>
        </w:rPr>
      </w:pPr>
      <w:r>
        <w:rPr>
          <w:rFonts w:hint="eastAsia" w:ascii="Times New Roman" w:hAnsi="Times New Roman" w:eastAsia="宋体" w:cs="Times New Roman"/>
          <w:b/>
          <w:bCs/>
          <w:color w:val="000000"/>
          <w:kern w:val="44"/>
          <w:sz w:val="32"/>
          <w:szCs w:val="32"/>
          <w:highlight w:val="none"/>
        </w:rPr>
        <w:br w:type="page"/>
      </w:r>
    </w:p>
    <w:p w14:paraId="38254935">
      <w:pPr>
        <w:pStyle w:val="11"/>
        <w:keepNext/>
        <w:keepLines/>
        <w:pageBreakBefore w:val="0"/>
        <w:widowControl w:val="0"/>
        <w:numPr>
          <w:ilvl w:val="0"/>
          <w:numId w:val="5"/>
        </w:numPr>
        <w:kinsoku/>
        <w:wordWrap/>
        <w:overflowPunct/>
        <w:topLinePunct w:val="0"/>
        <w:autoSpaceDE/>
        <w:autoSpaceDN/>
        <w:bidi w:val="0"/>
        <w:adjustRightInd w:val="0"/>
        <w:snapToGrid w:val="0"/>
        <w:spacing w:before="0" w:after="0" w:line="360" w:lineRule="auto"/>
        <w:ind w:left="0" w:firstLine="0" w:firstLineChars="0"/>
        <w:jc w:val="center"/>
        <w:textAlignment w:val="baseline"/>
        <w:rPr>
          <w:rFonts w:hint="eastAsia" w:ascii="Times New Roman" w:hAnsi="Times New Roman" w:eastAsia="宋体" w:cs="Times New Roman"/>
          <w:b/>
          <w:bCs/>
          <w:color w:val="000000"/>
          <w:kern w:val="44"/>
          <w:sz w:val="32"/>
          <w:szCs w:val="32"/>
          <w:highlight w:val="none"/>
          <w:lang w:eastAsia="zh-CN"/>
        </w:rPr>
      </w:pPr>
      <w:r>
        <w:rPr>
          <w:rFonts w:hint="eastAsia" w:ascii="Times New Roman" w:hAnsi="Times New Roman" w:eastAsia="宋体" w:cs="Times New Roman"/>
          <w:b/>
          <w:bCs/>
          <w:color w:val="000000"/>
          <w:kern w:val="44"/>
          <w:sz w:val="32"/>
          <w:szCs w:val="32"/>
          <w:highlight w:val="none"/>
        </w:rPr>
        <w:t xml:space="preserve"> </w:t>
      </w:r>
      <w:r>
        <w:rPr>
          <w:rFonts w:hint="eastAsia" w:ascii="Times New Roman" w:hAnsi="Times New Roman" w:cs="Times New Roman"/>
          <w:b/>
          <w:bCs/>
          <w:color w:val="000000"/>
          <w:kern w:val="44"/>
          <w:sz w:val="32"/>
          <w:szCs w:val="32"/>
          <w:highlight w:val="none"/>
          <w:lang w:eastAsia="zh-CN"/>
        </w:rPr>
        <w:t>招标控制价</w:t>
      </w:r>
      <w:r>
        <w:rPr>
          <w:rFonts w:hint="eastAsia" w:ascii="Times New Roman" w:hAnsi="Times New Roman" w:eastAsia="宋体" w:cs="Times New Roman"/>
          <w:b/>
          <w:bCs/>
          <w:color w:val="000000"/>
          <w:kern w:val="44"/>
          <w:sz w:val="32"/>
          <w:szCs w:val="32"/>
          <w:highlight w:val="none"/>
        </w:rPr>
        <w:t>清单及图纸</w:t>
      </w:r>
      <w:r>
        <w:rPr>
          <w:rFonts w:hint="eastAsia" w:ascii="Times New Roman" w:hAnsi="Times New Roman" w:eastAsia="宋体" w:cs="Times New Roman"/>
          <w:b/>
          <w:bCs/>
          <w:color w:val="000000"/>
          <w:kern w:val="44"/>
          <w:sz w:val="32"/>
          <w:szCs w:val="32"/>
          <w:highlight w:val="none"/>
          <w:lang w:eastAsia="zh-CN"/>
        </w:rPr>
        <w:t>（</w:t>
      </w:r>
      <w:r>
        <w:rPr>
          <w:rFonts w:hint="eastAsia" w:ascii="Times New Roman" w:hAnsi="Times New Roman" w:eastAsia="宋体" w:cs="Times New Roman"/>
          <w:b/>
          <w:bCs/>
          <w:color w:val="000000"/>
          <w:kern w:val="44"/>
          <w:sz w:val="32"/>
          <w:szCs w:val="32"/>
          <w:highlight w:val="none"/>
          <w:lang w:val="en-US" w:eastAsia="zh-CN"/>
        </w:rPr>
        <w:t>另册</w:t>
      </w:r>
      <w:r>
        <w:rPr>
          <w:rFonts w:hint="eastAsia" w:ascii="Times New Roman" w:hAnsi="Times New Roman" w:eastAsia="宋体" w:cs="Times New Roman"/>
          <w:b/>
          <w:bCs/>
          <w:color w:val="000000"/>
          <w:kern w:val="44"/>
          <w:sz w:val="32"/>
          <w:szCs w:val="32"/>
          <w:highlight w:val="none"/>
          <w:lang w:eastAsia="zh-CN"/>
        </w:rPr>
        <w:t>）</w:t>
      </w:r>
    </w:p>
    <w:p w14:paraId="27E0FE34">
      <w:pPr>
        <w:jc w:val="center"/>
        <w:rPr>
          <w:rFonts w:hint="eastAsia" w:ascii="宋体" w:hAnsi="宋体" w:eastAsia="宋体"/>
          <w:color w:val="auto"/>
          <w:sz w:val="32"/>
          <w:szCs w:val="32"/>
          <w:highlight w:val="none"/>
        </w:rPr>
      </w:pPr>
      <w:r>
        <w:rPr>
          <w:rFonts w:hint="eastAsia" w:ascii="宋体" w:hAnsi="宋体" w:eastAsia="宋体"/>
          <w:color w:val="auto"/>
          <w:sz w:val="32"/>
          <w:szCs w:val="32"/>
          <w:highlight w:val="none"/>
        </w:rPr>
        <w:t>（</w:t>
      </w:r>
      <w:r>
        <w:rPr>
          <w:rFonts w:hint="eastAsia" w:hAnsi="宋体" w:cs="宋体"/>
          <w:color w:val="auto"/>
          <w:kern w:val="0"/>
          <w:sz w:val="24"/>
          <w:szCs w:val="24"/>
          <w:highlight w:val="none"/>
          <w:lang w:val="en-US" w:eastAsia="zh-CN"/>
        </w:rPr>
        <w:t>本项目提供招标控制价（即施工图预算审核价）及图纸</w:t>
      </w:r>
      <w:r>
        <w:rPr>
          <w:rFonts w:hint="eastAsia" w:ascii="宋体" w:hAnsi="宋体" w:eastAsia="宋体"/>
          <w:color w:val="auto"/>
          <w:sz w:val="32"/>
          <w:szCs w:val="32"/>
          <w:highlight w:val="none"/>
        </w:rPr>
        <w:t>）</w:t>
      </w:r>
    </w:p>
    <w:p w14:paraId="0C49905E">
      <w:pPr>
        <w:pStyle w:val="11"/>
        <w:keepNext/>
        <w:keepLines/>
        <w:pageBreakBefore w:val="0"/>
        <w:widowControl w:val="0"/>
        <w:numPr>
          <w:ilvl w:val="-1"/>
          <w:numId w:val="0"/>
        </w:numPr>
        <w:kinsoku/>
        <w:wordWrap/>
        <w:overflowPunct/>
        <w:topLinePunct w:val="0"/>
        <w:autoSpaceDE/>
        <w:autoSpaceDN/>
        <w:bidi w:val="0"/>
        <w:adjustRightInd w:val="0"/>
        <w:snapToGrid w:val="0"/>
        <w:spacing w:before="0" w:after="0" w:line="360" w:lineRule="auto"/>
        <w:ind w:left="0" w:firstLine="0" w:firstLineChars="0"/>
        <w:jc w:val="both"/>
        <w:textAlignment w:val="baseline"/>
        <w:rPr>
          <w:rFonts w:hint="eastAsia" w:ascii="Times New Roman" w:hAnsi="Times New Roman" w:eastAsia="宋体" w:cs="Times New Roman"/>
          <w:b/>
          <w:bCs/>
          <w:color w:val="000000"/>
          <w:kern w:val="44"/>
          <w:sz w:val="32"/>
          <w:szCs w:val="32"/>
          <w:highlight w:val="none"/>
          <w:lang w:val="en-US" w:eastAsia="zh-CN"/>
        </w:rPr>
      </w:pPr>
    </w:p>
    <w:p w14:paraId="5E06FDA1">
      <w:pPr>
        <w:pStyle w:val="2"/>
        <w:jc w:val="center"/>
        <w:rPr>
          <w:rFonts w:ascii="Times New Roman" w:hAnsi="Times New Roman" w:cs="Times New Roman"/>
          <w:color w:val="000000"/>
          <w:kern w:val="0"/>
          <w:sz w:val="28"/>
          <w:szCs w:val="28"/>
          <w:highlight w:val="none"/>
        </w:rPr>
      </w:pPr>
      <w:r>
        <w:rPr>
          <w:rFonts w:ascii="Times New Roman" w:hAnsi="Times New Roman" w:cs="Times New Roman"/>
          <w:color w:val="000000"/>
          <w:highlight w:val="none"/>
        </w:rPr>
        <w:br w:type="page"/>
      </w:r>
      <w:r>
        <w:rPr>
          <w:rFonts w:hint="eastAsia" w:ascii="Times New Roman" w:hAnsi="Times New Roman" w:cs="Times New Roman"/>
          <w:color w:val="000000"/>
          <w:highlight w:val="none"/>
        </w:rPr>
        <w:t xml:space="preserve">    </w:t>
      </w:r>
      <w:r>
        <w:rPr>
          <w:rFonts w:ascii="Times New Roman" w:hAnsi="Times New Roman" w:cs="Times New Roman"/>
          <w:b/>
          <w:bCs/>
          <w:color w:val="000000"/>
          <w:kern w:val="44"/>
          <w:sz w:val="32"/>
          <w:szCs w:val="32"/>
          <w:highlight w:val="none"/>
        </w:rPr>
        <w:t xml:space="preserve">第六章  </w:t>
      </w:r>
      <w:r>
        <w:rPr>
          <w:rFonts w:hint="eastAsia"/>
          <w:color w:val="000000"/>
          <w:szCs w:val="32"/>
          <w:highlight w:val="none"/>
        </w:rPr>
        <w:t>比选申请文件</w:t>
      </w:r>
      <w:r>
        <w:rPr>
          <w:color w:val="000000"/>
          <w:szCs w:val="32"/>
          <w:highlight w:val="none"/>
        </w:rPr>
        <w:t>格式</w:t>
      </w:r>
      <w:r>
        <w:rPr>
          <w:rFonts w:ascii="Times New Roman" w:hAnsi="Times New Roman" w:cs="Times New Roman"/>
          <w:color w:val="000000"/>
          <w:sz w:val="24"/>
          <w:highlight w:val="none"/>
        </w:rPr>
        <w:br w:type="page"/>
      </w:r>
      <w:r>
        <w:rPr>
          <w:rFonts w:hint="eastAsia" w:ascii="Times New Roman" w:hAnsi="Times New Roman" w:cs="Times New Roman"/>
          <w:color w:val="000000"/>
          <w:kern w:val="0"/>
          <w:sz w:val="28"/>
          <w:szCs w:val="28"/>
          <w:highlight w:val="none"/>
        </w:rPr>
        <w:t>比选申请文件</w:t>
      </w:r>
      <w:r>
        <w:rPr>
          <w:rFonts w:ascii="Times New Roman" w:hAnsi="Times New Roman" w:cs="Times New Roman"/>
          <w:color w:val="000000"/>
          <w:kern w:val="0"/>
          <w:sz w:val="28"/>
          <w:szCs w:val="28"/>
          <w:highlight w:val="none"/>
        </w:rPr>
        <w:t>封面格式</w:t>
      </w:r>
    </w:p>
    <w:p w14:paraId="0B247459">
      <w:pPr>
        <w:spacing w:line="360" w:lineRule="auto"/>
        <w:ind w:left="359" w:leftChars="171" w:firstLine="560"/>
        <w:jc w:val="right"/>
        <w:rPr>
          <w:rFonts w:ascii="Times New Roman" w:hAnsi="Times New Roman" w:cs="Times New Roman"/>
          <w:color w:val="000000"/>
          <w:kern w:val="0"/>
          <w:sz w:val="28"/>
          <w:szCs w:val="28"/>
          <w:highlight w:val="none"/>
        </w:rPr>
      </w:pPr>
    </w:p>
    <w:p w14:paraId="607F1604">
      <w:pPr>
        <w:spacing w:line="360" w:lineRule="auto"/>
        <w:jc w:val="center"/>
        <w:rPr>
          <w:rFonts w:ascii="Times New Roman" w:hAnsi="Times New Roman" w:cs="Times New Roman"/>
          <w:b/>
          <w:color w:val="000000"/>
          <w:sz w:val="44"/>
          <w:szCs w:val="44"/>
          <w:highlight w:val="none"/>
        </w:rPr>
      </w:pPr>
      <w:r>
        <w:rPr>
          <w:rFonts w:ascii="Times New Roman" w:hAnsi="Times New Roman" w:cs="Times New Roman"/>
          <w:b/>
          <w:color w:val="000000"/>
          <w:sz w:val="44"/>
          <w:szCs w:val="44"/>
          <w:highlight w:val="none"/>
        </w:rPr>
        <w:t>四川蜀道新能源科技发展有限公司</w:t>
      </w:r>
    </w:p>
    <w:p w14:paraId="06F4B2D6">
      <w:pPr>
        <w:autoSpaceDE w:val="0"/>
        <w:autoSpaceDN w:val="0"/>
        <w:adjustRightInd w:val="0"/>
        <w:spacing w:line="360" w:lineRule="auto"/>
        <w:ind w:left="0" w:leftChars="0" w:firstLine="0"/>
        <w:jc w:val="center"/>
        <w:rPr>
          <w:rFonts w:hint="eastAsia" w:ascii="Times New Roman" w:hAnsi="Times New Roman" w:eastAsia="宋体" w:cs="Times New Roman"/>
          <w:b/>
          <w:color w:val="000000"/>
          <w:w w:val="99"/>
          <w:sz w:val="44"/>
          <w:szCs w:val="44"/>
          <w:highlight w:val="none"/>
          <w:lang w:val="en-US" w:eastAsia="zh-CN"/>
        </w:rPr>
      </w:pPr>
      <w:r>
        <w:rPr>
          <w:rFonts w:hint="eastAsia" w:ascii="Times New Roman" w:hAnsi="Times New Roman" w:eastAsia="宋体" w:cs="Times New Roman"/>
          <w:b/>
          <w:color w:val="000000"/>
          <w:w w:val="99"/>
          <w:sz w:val="44"/>
          <w:szCs w:val="44"/>
          <w:highlight w:val="none"/>
          <w:lang w:val="en-US" w:eastAsia="zh-CN"/>
        </w:rPr>
        <w:t>G0615线久治至马尔康段高速公路刷经寺</w:t>
      </w:r>
    </w:p>
    <w:p w14:paraId="29AC8BDD">
      <w:pPr>
        <w:autoSpaceDE w:val="0"/>
        <w:autoSpaceDN w:val="0"/>
        <w:adjustRightInd w:val="0"/>
        <w:spacing w:line="360" w:lineRule="auto"/>
        <w:ind w:left="0" w:leftChars="0" w:firstLine="0"/>
        <w:jc w:val="center"/>
        <w:rPr>
          <w:rFonts w:hint="eastAsia" w:ascii="Times New Roman" w:hAnsi="Times New Roman" w:eastAsia="宋体" w:cs="Times New Roman"/>
          <w:b/>
          <w:color w:val="000000"/>
          <w:w w:val="99"/>
          <w:sz w:val="44"/>
          <w:szCs w:val="44"/>
          <w:highlight w:val="none"/>
          <w:lang w:val="en-US" w:eastAsia="zh-CN"/>
        </w:rPr>
      </w:pPr>
      <w:r>
        <w:rPr>
          <w:rFonts w:hint="eastAsia" w:ascii="Times New Roman" w:hAnsi="Times New Roman" w:eastAsia="宋体" w:cs="Times New Roman"/>
          <w:b/>
          <w:color w:val="000000"/>
          <w:w w:val="99"/>
          <w:sz w:val="44"/>
          <w:szCs w:val="44"/>
          <w:highlight w:val="none"/>
          <w:lang w:val="en-US" w:eastAsia="zh-CN"/>
        </w:rPr>
        <w:t>服务区充电站项目</w:t>
      </w:r>
    </w:p>
    <w:p w14:paraId="0813B350">
      <w:pPr>
        <w:autoSpaceDE w:val="0"/>
        <w:autoSpaceDN w:val="0"/>
        <w:adjustRightInd w:val="0"/>
        <w:spacing w:line="360" w:lineRule="auto"/>
        <w:ind w:left="0" w:leftChars="0" w:firstLine="0"/>
        <w:jc w:val="both"/>
        <w:rPr>
          <w:rFonts w:ascii="Times New Roman" w:hAnsi="Times New Roman" w:cs="Times New Roman"/>
          <w:b/>
          <w:color w:val="000000"/>
          <w:w w:val="99"/>
          <w:kern w:val="0"/>
          <w:sz w:val="36"/>
          <w:szCs w:val="36"/>
          <w:highlight w:val="none"/>
        </w:rPr>
      </w:pPr>
    </w:p>
    <w:p w14:paraId="7118366D">
      <w:pPr>
        <w:autoSpaceDE w:val="0"/>
        <w:autoSpaceDN w:val="0"/>
        <w:adjustRightInd w:val="0"/>
        <w:spacing w:line="360" w:lineRule="auto"/>
        <w:ind w:left="359" w:leftChars="171" w:firstLine="883"/>
        <w:jc w:val="left"/>
        <w:rPr>
          <w:rFonts w:ascii="Times New Roman" w:hAnsi="Times New Roman" w:cs="Times New Roman"/>
          <w:b/>
          <w:color w:val="000000"/>
          <w:kern w:val="0"/>
          <w:sz w:val="44"/>
          <w:szCs w:val="44"/>
          <w:highlight w:val="none"/>
        </w:rPr>
      </w:pPr>
    </w:p>
    <w:p w14:paraId="7B5A7FBC">
      <w:pPr>
        <w:pStyle w:val="8"/>
        <w:rPr>
          <w:highlight w:val="none"/>
        </w:rPr>
      </w:pPr>
    </w:p>
    <w:p w14:paraId="49D2321A">
      <w:pPr>
        <w:tabs>
          <w:tab w:val="left" w:pos="3600"/>
          <w:tab w:val="left" w:pos="5360"/>
        </w:tabs>
        <w:autoSpaceDE w:val="0"/>
        <w:autoSpaceDN w:val="0"/>
        <w:adjustRightInd w:val="0"/>
        <w:spacing w:line="360" w:lineRule="auto"/>
        <w:ind w:left="359" w:leftChars="171" w:right="-20"/>
        <w:jc w:val="center"/>
        <w:outlineLvl w:val="0"/>
        <w:rPr>
          <w:rFonts w:ascii="Times New Roman" w:hAnsi="Times New Roman" w:cs="Times New Roman"/>
          <w:b/>
          <w:color w:val="000000"/>
          <w:kern w:val="0"/>
          <w:sz w:val="72"/>
          <w:szCs w:val="72"/>
          <w:highlight w:val="none"/>
        </w:rPr>
      </w:pPr>
      <w:r>
        <w:rPr>
          <w:rFonts w:hint="eastAsia" w:ascii="Times New Roman" w:hAnsi="Times New Roman" w:cs="Times New Roman"/>
          <w:b/>
          <w:color w:val="000000"/>
          <w:kern w:val="0"/>
          <w:sz w:val="72"/>
          <w:szCs w:val="72"/>
          <w:highlight w:val="none"/>
        </w:rPr>
        <w:t>比选申请文件</w:t>
      </w:r>
    </w:p>
    <w:p w14:paraId="087C8676">
      <w:pPr>
        <w:tabs>
          <w:tab w:val="left" w:pos="3600"/>
          <w:tab w:val="left" w:pos="4480"/>
          <w:tab w:val="left" w:pos="5360"/>
        </w:tabs>
        <w:autoSpaceDE w:val="0"/>
        <w:autoSpaceDN w:val="0"/>
        <w:adjustRightInd w:val="0"/>
        <w:spacing w:line="360" w:lineRule="auto"/>
        <w:ind w:right="-20"/>
        <w:jc w:val="center"/>
        <w:outlineLvl w:val="0"/>
        <w:rPr>
          <w:rFonts w:ascii="Times New Roman" w:hAnsi="Times New Roman" w:cs="Times New Roman"/>
          <w:b/>
          <w:color w:val="000000"/>
          <w:kern w:val="0"/>
          <w:sz w:val="44"/>
          <w:szCs w:val="44"/>
          <w:highlight w:val="none"/>
        </w:rPr>
      </w:pPr>
      <w:r>
        <w:rPr>
          <w:rFonts w:ascii="Times New Roman" w:hAnsi="Times New Roman" w:cs="Times New Roman"/>
          <w:b/>
          <w:color w:val="000000"/>
          <w:kern w:val="0"/>
          <w:sz w:val="44"/>
          <w:szCs w:val="44"/>
          <w:highlight w:val="none"/>
        </w:rPr>
        <w:t>（第</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册，共</w:t>
      </w:r>
      <w:r>
        <w:rPr>
          <w:rFonts w:ascii="Times New Roman" w:hAnsi="Times New Roman" w:cs="Times New Roman"/>
          <w:b/>
          <w:color w:val="000000"/>
          <w:kern w:val="0"/>
          <w:sz w:val="44"/>
          <w:szCs w:val="44"/>
          <w:highlight w:val="none"/>
          <w:u w:val="single"/>
        </w:rPr>
        <w:t xml:space="preserve">  </w:t>
      </w:r>
      <w:r>
        <w:rPr>
          <w:rFonts w:ascii="Times New Roman" w:hAnsi="Times New Roman" w:cs="Times New Roman"/>
          <w:b/>
          <w:color w:val="000000"/>
          <w:kern w:val="0"/>
          <w:sz w:val="44"/>
          <w:szCs w:val="44"/>
          <w:highlight w:val="none"/>
        </w:rPr>
        <w:t>册）</w:t>
      </w:r>
    </w:p>
    <w:p w14:paraId="6141CD9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A9E6B99">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437D50BE">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695CBBE5">
      <w:pPr>
        <w:autoSpaceDE w:val="0"/>
        <w:autoSpaceDN w:val="0"/>
        <w:adjustRightInd w:val="0"/>
        <w:spacing w:line="360" w:lineRule="auto"/>
        <w:ind w:left="359" w:leftChars="171" w:firstLine="643"/>
        <w:jc w:val="left"/>
        <w:rPr>
          <w:rFonts w:ascii="Times New Roman" w:hAnsi="Times New Roman" w:cs="Times New Roman"/>
          <w:b/>
          <w:color w:val="000000"/>
          <w:kern w:val="0"/>
          <w:sz w:val="32"/>
          <w:szCs w:val="32"/>
          <w:highlight w:val="none"/>
        </w:rPr>
      </w:pPr>
    </w:p>
    <w:p w14:paraId="0D4F2E8C">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hint="eastAsia" w:ascii="Times New Roman" w:hAnsi="Times New Roman" w:cs="Times New Roman"/>
          <w:b/>
          <w:color w:val="000000"/>
          <w:w w:val="99"/>
          <w:kern w:val="0"/>
          <w:sz w:val="32"/>
          <w:szCs w:val="32"/>
          <w:highlight w:val="none"/>
        </w:rPr>
        <w:t>比选申请人</w:t>
      </w:r>
      <w:r>
        <w:rPr>
          <w:rFonts w:ascii="Times New Roman" w:hAnsi="Times New Roman" w:cs="Times New Roman"/>
          <w:b/>
          <w:color w:val="000000"/>
          <w:spacing w:val="1"/>
          <w:w w:val="99"/>
          <w:kern w:val="0"/>
          <w:sz w:val="32"/>
          <w:szCs w:val="32"/>
          <w:highlight w:val="none"/>
        </w:rPr>
        <w:t>：</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（盖单位章）</w:t>
      </w:r>
    </w:p>
    <w:p w14:paraId="5AC755BF">
      <w:pPr>
        <w:tabs>
          <w:tab w:val="left" w:pos="6069"/>
          <w:tab w:val="left" w:pos="6640"/>
        </w:tabs>
        <w:autoSpaceDE w:val="0"/>
        <w:autoSpaceDN w:val="0"/>
        <w:adjustRightInd w:val="0"/>
        <w:spacing w:line="360" w:lineRule="auto"/>
        <w:ind w:left="359" w:leftChars="171" w:right="403" w:firstLine="638"/>
        <w:jc w:val="left"/>
        <w:rPr>
          <w:rFonts w:ascii="Times New Roman" w:hAnsi="Times New Roman" w:cs="Times New Roman"/>
          <w:b/>
          <w:color w:val="000000"/>
          <w:w w:val="99"/>
          <w:kern w:val="0"/>
          <w:sz w:val="32"/>
          <w:szCs w:val="32"/>
          <w:highlight w:val="none"/>
        </w:rPr>
      </w:pPr>
      <w:r>
        <w:rPr>
          <w:rFonts w:ascii="Times New Roman" w:hAnsi="Times New Roman" w:cs="Times New Roman"/>
          <w:b/>
          <w:color w:val="000000"/>
          <w:w w:val="99"/>
          <w:kern w:val="0"/>
          <w:sz w:val="32"/>
          <w:szCs w:val="32"/>
          <w:highlight w:val="none"/>
        </w:rPr>
        <w:t>法定代表人或其委托代理人：</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（签字）</w:t>
      </w:r>
    </w:p>
    <w:p w14:paraId="0E356A25">
      <w:pPr>
        <w:tabs>
          <w:tab w:val="left" w:pos="2630"/>
          <w:tab w:val="left" w:pos="4190"/>
          <w:tab w:val="left" w:pos="5435"/>
        </w:tabs>
        <w:autoSpaceDE w:val="0"/>
        <w:autoSpaceDN w:val="0"/>
        <w:adjustRightInd w:val="0"/>
        <w:spacing w:line="360" w:lineRule="auto"/>
        <w:ind w:right="-20" w:firstLine="2554" w:firstLineChars="795"/>
        <w:jc w:val="left"/>
        <w:rPr>
          <w:rFonts w:ascii="Times New Roman" w:hAnsi="Times New Roman" w:cs="Times New Roman"/>
          <w:b/>
          <w:color w:val="000000"/>
          <w:kern w:val="0"/>
          <w:sz w:val="32"/>
          <w:szCs w:val="32"/>
          <w:highlight w:val="none"/>
        </w:rPr>
      </w:pPr>
      <w:r>
        <w:rPr>
          <w:rFonts w:ascii="Times New Roman" w:hAnsi="Times New Roman" w:cs="Times New Roman"/>
          <w:b/>
          <w:color w:val="000000"/>
          <w:kern w:val="0"/>
          <w:sz w:val="32"/>
          <w:szCs w:val="32"/>
          <w:highlight w:val="none"/>
        </w:rPr>
        <w:t>日期：</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年</w:t>
      </w:r>
      <w:r>
        <w:rPr>
          <w:rFonts w:ascii="Times New Roman" w:hAnsi="Times New Roman" w:cs="Times New Roman"/>
          <w:b/>
          <w:color w:val="000000"/>
          <w:w w:val="99"/>
          <w:kern w:val="0"/>
          <w:sz w:val="32"/>
          <w:szCs w:val="32"/>
          <w:highlight w:val="none"/>
          <w:u w:val="single"/>
        </w:rPr>
        <w:t xml:space="preserve">  </w:t>
      </w:r>
      <w:r>
        <w:rPr>
          <w:rFonts w:ascii="Times New Roman" w:hAnsi="Times New Roman" w:cs="Times New Roman"/>
          <w:b/>
          <w:color w:val="000000"/>
          <w:w w:val="99"/>
          <w:kern w:val="0"/>
          <w:sz w:val="32"/>
          <w:szCs w:val="32"/>
          <w:highlight w:val="none"/>
        </w:rPr>
        <w:t>月</w:t>
      </w:r>
      <w:r>
        <w:rPr>
          <w:rFonts w:ascii="Times New Roman" w:hAnsi="Times New Roman" w:cs="Times New Roman"/>
          <w:b/>
          <w:color w:val="000000"/>
          <w:kern w:val="0"/>
          <w:sz w:val="32"/>
          <w:szCs w:val="32"/>
          <w:highlight w:val="none"/>
          <w:u w:val="single"/>
        </w:rPr>
        <w:tab/>
      </w:r>
      <w:r>
        <w:rPr>
          <w:rFonts w:ascii="Times New Roman" w:hAnsi="Times New Roman" w:cs="Times New Roman"/>
          <w:b/>
          <w:color w:val="000000"/>
          <w:w w:val="99"/>
          <w:kern w:val="0"/>
          <w:sz w:val="32"/>
          <w:szCs w:val="32"/>
          <w:highlight w:val="none"/>
        </w:rPr>
        <w:t>日</w:t>
      </w:r>
    </w:p>
    <w:p w14:paraId="75F4C5E6">
      <w:pPr>
        <w:spacing w:line="360" w:lineRule="auto"/>
        <w:jc w:val="center"/>
        <w:rPr>
          <w:rFonts w:ascii="Times New Roman" w:hAnsi="Times New Roman" w:cs="Times New Roman"/>
          <w:b/>
          <w:color w:val="000000"/>
          <w:sz w:val="28"/>
          <w:szCs w:val="28"/>
          <w:highlight w:val="none"/>
        </w:rPr>
      </w:pPr>
      <w:r>
        <w:rPr>
          <w:rFonts w:ascii="Times New Roman" w:hAnsi="Times New Roman" w:cs="Times New Roman"/>
          <w:b/>
          <w:color w:val="000000"/>
          <w:sz w:val="24"/>
          <w:highlight w:val="none"/>
        </w:rPr>
        <w:br w:type="page"/>
      </w:r>
      <w:r>
        <w:rPr>
          <w:rFonts w:ascii="Times New Roman" w:hAnsi="Times New Roman" w:cs="Times New Roman"/>
          <w:b/>
          <w:color w:val="000000"/>
          <w:sz w:val="28"/>
          <w:szCs w:val="28"/>
          <w:highlight w:val="none"/>
        </w:rPr>
        <w:t>目  录</w:t>
      </w:r>
    </w:p>
    <w:p w14:paraId="135FD67C">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rPr>
        <w:t>比选申请</w:t>
      </w:r>
      <w:r>
        <w:rPr>
          <w:color w:val="000000"/>
          <w:szCs w:val="21"/>
          <w:highlight w:val="none"/>
        </w:rPr>
        <w:t>函及</w:t>
      </w:r>
      <w:r>
        <w:rPr>
          <w:rFonts w:hint="eastAsia"/>
          <w:color w:val="000000"/>
          <w:szCs w:val="21"/>
          <w:highlight w:val="none"/>
        </w:rPr>
        <w:t>比选申请</w:t>
      </w:r>
      <w:r>
        <w:rPr>
          <w:color w:val="000000"/>
          <w:szCs w:val="21"/>
          <w:highlight w:val="none"/>
        </w:rPr>
        <w:t>函附录</w:t>
      </w:r>
    </w:p>
    <w:p w14:paraId="14906D3D">
      <w:pPr>
        <w:pStyle w:val="22"/>
        <w:widowControl/>
        <w:numPr>
          <w:ilvl w:val="0"/>
          <w:numId w:val="8"/>
        </w:numPr>
        <w:spacing w:line="360" w:lineRule="auto"/>
        <w:ind w:firstLineChars="0"/>
        <w:jc w:val="left"/>
        <w:rPr>
          <w:color w:val="000000"/>
          <w:szCs w:val="21"/>
          <w:highlight w:val="none"/>
        </w:rPr>
      </w:pPr>
      <w:r>
        <w:rPr>
          <w:color w:val="000000"/>
          <w:szCs w:val="21"/>
          <w:highlight w:val="none"/>
        </w:rPr>
        <w:t>法定代表人身份证明</w:t>
      </w:r>
    </w:p>
    <w:p w14:paraId="210B7646">
      <w:pPr>
        <w:pStyle w:val="22"/>
        <w:widowControl/>
        <w:numPr>
          <w:ilvl w:val="0"/>
          <w:numId w:val="8"/>
        </w:numPr>
        <w:spacing w:line="360" w:lineRule="auto"/>
        <w:ind w:firstLineChars="0"/>
        <w:jc w:val="left"/>
        <w:rPr>
          <w:color w:val="000000"/>
          <w:szCs w:val="21"/>
          <w:highlight w:val="none"/>
        </w:rPr>
      </w:pPr>
      <w:r>
        <w:rPr>
          <w:color w:val="000000"/>
          <w:szCs w:val="21"/>
          <w:highlight w:val="none"/>
        </w:rPr>
        <w:t>授权委托书</w:t>
      </w:r>
    </w:p>
    <w:p w14:paraId="13FC5FDB">
      <w:pPr>
        <w:pStyle w:val="22"/>
        <w:widowControl/>
        <w:numPr>
          <w:ilvl w:val="0"/>
          <w:numId w:val="8"/>
        </w:numPr>
        <w:spacing w:line="360" w:lineRule="auto"/>
        <w:ind w:firstLineChars="0"/>
        <w:jc w:val="left"/>
        <w:rPr>
          <w:color w:val="000000"/>
          <w:szCs w:val="21"/>
          <w:highlight w:val="none"/>
        </w:rPr>
      </w:pPr>
      <w:r>
        <w:rPr>
          <w:color w:val="000000"/>
          <w:szCs w:val="21"/>
          <w:highlight w:val="none"/>
        </w:rPr>
        <w:t>项目管理机构</w:t>
      </w:r>
    </w:p>
    <w:p w14:paraId="7DA098A1">
      <w:pPr>
        <w:pStyle w:val="22"/>
        <w:widowControl/>
        <w:numPr>
          <w:ilvl w:val="0"/>
          <w:numId w:val="8"/>
        </w:numPr>
        <w:spacing w:line="360" w:lineRule="auto"/>
        <w:ind w:firstLineChars="0"/>
        <w:jc w:val="left"/>
        <w:rPr>
          <w:color w:val="000000"/>
          <w:szCs w:val="21"/>
          <w:highlight w:val="none"/>
        </w:rPr>
      </w:pPr>
      <w:r>
        <w:rPr>
          <w:color w:val="000000"/>
          <w:szCs w:val="21"/>
          <w:highlight w:val="none"/>
        </w:rPr>
        <w:t>资格审查资料</w:t>
      </w:r>
    </w:p>
    <w:p w14:paraId="729BD5BF">
      <w:pPr>
        <w:pStyle w:val="22"/>
        <w:widowControl/>
        <w:numPr>
          <w:ilvl w:val="0"/>
          <w:numId w:val="8"/>
        </w:numPr>
        <w:spacing w:line="360" w:lineRule="auto"/>
        <w:ind w:firstLineChars="0"/>
        <w:jc w:val="left"/>
        <w:rPr>
          <w:color w:val="000000"/>
          <w:szCs w:val="21"/>
          <w:highlight w:val="none"/>
        </w:rPr>
      </w:pPr>
      <w:r>
        <w:rPr>
          <w:rFonts w:hint="eastAsia"/>
          <w:color w:val="000000"/>
          <w:szCs w:val="21"/>
          <w:highlight w:val="none"/>
          <w:lang w:val="en-US" w:eastAsia="zh-CN"/>
        </w:rPr>
        <w:t>施工组织设计</w:t>
      </w:r>
    </w:p>
    <w:p w14:paraId="08BE0DDB">
      <w:pPr>
        <w:pStyle w:val="22"/>
        <w:widowControl/>
        <w:numPr>
          <w:ilvl w:val="0"/>
          <w:numId w:val="8"/>
        </w:numPr>
        <w:spacing w:line="360" w:lineRule="auto"/>
        <w:ind w:firstLineChars="0"/>
        <w:jc w:val="left"/>
        <w:rPr>
          <w:color w:val="000000"/>
          <w:szCs w:val="21"/>
          <w:highlight w:val="none"/>
        </w:rPr>
      </w:pPr>
      <w:r>
        <w:rPr>
          <w:color w:val="000000"/>
          <w:szCs w:val="21"/>
          <w:highlight w:val="none"/>
        </w:rPr>
        <w:t>其他资料</w:t>
      </w:r>
    </w:p>
    <w:p w14:paraId="0BB5E4CE">
      <w:pPr>
        <w:spacing w:line="360" w:lineRule="auto"/>
        <w:ind w:firstLine="420" w:firstLineChars="200"/>
        <w:rPr>
          <w:rFonts w:ascii="Times New Roman" w:hAnsi="Times New Roman" w:cs="Times New Roman"/>
          <w:color w:val="000000"/>
          <w:szCs w:val="21"/>
          <w:highlight w:val="none"/>
        </w:rPr>
      </w:pPr>
    </w:p>
    <w:p w14:paraId="334689CE">
      <w:pPr>
        <w:spacing w:line="360" w:lineRule="auto"/>
        <w:ind w:firstLine="420" w:firstLineChars="200"/>
        <w:rPr>
          <w:rFonts w:ascii="Times New Roman" w:hAnsi="Times New Roman" w:cs="Times New Roman"/>
          <w:color w:val="000000"/>
          <w:szCs w:val="21"/>
          <w:highlight w:val="none"/>
        </w:rPr>
      </w:pPr>
    </w:p>
    <w:p w14:paraId="6A1D5C5D">
      <w:pPr>
        <w:spacing w:line="360" w:lineRule="auto"/>
        <w:ind w:firstLine="420" w:firstLineChars="200"/>
        <w:rPr>
          <w:rFonts w:ascii="Times New Roman" w:hAnsi="Times New Roman" w:cs="Times New Roman"/>
          <w:color w:val="000000"/>
          <w:szCs w:val="21"/>
          <w:highlight w:val="none"/>
        </w:rPr>
      </w:pPr>
    </w:p>
    <w:p w14:paraId="6A2619BB">
      <w:pPr>
        <w:spacing w:line="360" w:lineRule="auto"/>
        <w:ind w:firstLine="420" w:firstLineChars="200"/>
        <w:rPr>
          <w:rFonts w:ascii="Times New Roman" w:hAnsi="Times New Roman" w:cs="Times New Roman"/>
          <w:color w:val="000000"/>
          <w:szCs w:val="21"/>
          <w:highlight w:val="none"/>
        </w:rPr>
      </w:pPr>
    </w:p>
    <w:p w14:paraId="572F83FC">
      <w:pPr>
        <w:spacing w:line="360" w:lineRule="auto"/>
        <w:ind w:firstLine="420" w:firstLineChars="200"/>
        <w:rPr>
          <w:rFonts w:ascii="Times New Roman" w:hAnsi="Times New Roman" w:cs="Times New Roman"/>
          <w:color w:val="000000"/>
          <w:szCs w:val="21"/>
          <w:highlight w:val="none"/>
        </w:rPr>
      </w:pPr>
    </w:p>
    <w:p w14:paraId="4836805F">
      <w:pPr>
        <w:spacing w:line="360" w:lineRule="auto"/>
        <w:ind w:firstLine="420" w:firstLineChars="200"/>
        <w:rPr>
          <w:rFonts w:ascii="Times New Roman" w:hAnsi="Times New Roman" w:cs="Times New Roman"/>
          <w:color w:val="000000"/>
          <w:szCs w:val="21"/>
          <w:highlight w:val="none"/>
        </w:rPr>
      </w:pPr>
    </w:p>
    <w:p w14:paraId="3A22FEAE">
      <w:pPr>
        <w:spacing w:line="360" w:lineRule="auto"/>
        <w:ind w:firstLine="420" w:firstLineChars="200"/>
        <w:rPr>
          <w:rFonts w:ascii="Times New Roman" w:hAnsi="Times New Roman" w:cs="Times New Roman"/>
          <w:color w:val="000000"/>
          <w:szCs w:val="21"/>
          <w:highlight w:val="none"/>
        </w:rPr>
      </w:pPr>
    </w:p>
    <w:p w14:paraId="120B8F3B">
      <w:pPr>
        <w:spacing w:line="360" w:lineRule="auto"/>
        <w:ind w:firstLine="420" w:firstLineChars="200"/>
        <w:rPr>
          <w:rFonts w:ascii="Times New Roman" w:hAnsi="Times New Roman" w:cs="Times New Roman"/>
          <w:color w:val="000000"/>
          <w:szCs w:val="21"/>
          <w:highlight w:val="none"/>
        </w:rPr>
      </w:pPr>
    </w:p>
    <w:p w14:paraId="756D74C0">
      <w:pPr>
        <w:spacing w:line="360" w:lineRule="auto"/>
        <w:ind w:firstLine="420" w:firstLineChars="200"/>
        <w:rPr>
          <w:rFonts w:ascii="Times New Roman" w:hAnsi="Times New Roman" w:cs="Times New Roman"/>
          <w:color w:val="000000"/>
          <w:szCs w:val="21"/>
          <w:highlight w:val="none"/>
        </w:rPr>
      </w:pPr>
    </w:p>
    <w:p w14:paraId="789C14AD">
      <w:pPr>
        <w:spacing w:line="360" w:lineRule="auto"/>
        <w:ind w:firstLine="420" w:firstLineChars="200"/>
        <w:rPr>
          <w:rFonts w:ascii="Times New Roman" w:hAnsi="Times New Roman" w:cs="Times New Roman"/>
          <w:color w:val="000000"/>
          <w:szCs w:val="21"/>
          <w:highlight w:val="none"/>
        </w:rPr>
      </w:pPr>
    </w:p>
    <w:p w14:paraId="2618680B">
      <w:pPr>
        <w:spacing w:line="360" w:lineRule="auto"/>
        <w:ind w:firstLine="420" w:firstLineChars="200"/>
        <w:rPr>
          <w:rFonts w:ascii="Times New Roman" w:hAnsi="Times New Roman" w:cs="Times New Roman"/>
          <w:color w:val="000000"/>
          <w:szCs w:val="21"/>
          <w:highlight w:val="none"/>
        </w:rPr>
      </w:pPr>
    </w:p>
    <w:p w14:paraId="05958726">
      <w:pPr>
        <w:spacing w:line="360" w:lineRule="auto"/>
        <w:ind w:firstLine="420" w:firstLineChars="200"/>
        <w:rPr>
          <w:rFonts w:ascii="Times New Roman" w:hAnsi="Times New Roman" w:cs="Times New Roman"/>
          <w:color w:val="000000"/>
          <w:szCs w:val="21"/>
          <w:highlight w:val="none"/>
        </w:rPr>
      </w:pPr>
    </w:p>
    <w:p w14:paraId="6BD54E1A">
      <w:pPr>
        <w:spacing w:line="360" w:lineRule="auto"/>
        <w:ind w:firstLine="420" w:firstLineChars="200"/>
        <w:rPr>
          <w:rFonts w:ascii="Times New Roman" w:hAnsi="Times New Roman" w:cs="Times New Roman"/>
          <w:color w:val="000000"/>
          <w:szCs w:val="21"/>
          <w:highlight w:val="none"/>
        </w:rPr>
      </w:pPr>
    </w:p>
    <w:p w14:paraId="6F5AC31E">
      <w:pPr>
        <w:spacing w:line="360" w:lineRule="auto"/>
        <w:rPr>
          <w:rFonts w:ascii="Times New Roman" w:hAnsi="Times New Roman" w:cs="Times New Roman"/>
          <w:color w:val="000000"/>
          <w:szCs w:val="21"/>
          <w:highlight w:val="none"/>
        </w:rPr>
      </w:pPr>
    </w:p>
    <w:p w14:paraId="23230B38">
      <w:pPr>
        <w:spacing w:line="360" w:lineRule="auto"/>
        <w:ind w:firstLine="420" w:firstLineChars="200"/>
        <w:rPr>
          <w:rFonts w:ascii="Times New Roman" w:hAnsi="Times New Roman" w:cs="Times New Roman"/>
          <w:color w:val="000000"/>
          <w:szCs w:val="21"/>
          <w:highlight w:val="none"/>
        </w:rPr>
      </w:pPr>
    </w:p>
    <w:p w14:paraId="7170A53B">
      <w:pPr>
        <w:pStyle w:val="4"/>
        <w:numPr>
          <w:ilvl w:val="0"/>
          <w:numId w:val="9"/>
        </w:numPr>
        <w:jc w:val="center"/>
        <w:rPr>
          <w:bCs w:val="0"/>
          <w:sz w:val="28"/>
          <w:szCs w:val="28"/>
          <w:highlight w:val="none"/>
        </w:rPr>
      </w:pPr>
      <w:r>
        <w:rPr>
          <w:color w:val="000000"/>
          <w:szCs w:val="21"/>
          <w:highlight w:val="none"/>
        </w:rPr>
        <w:br w:type="page"/>
      </w:r>
      <w:r>
        <w:rPr>
          <w:rFonts w:hint="eastAsia"/>
          <w:bCs w:val="0"/>
          <w:sz w:val="28"/>
          <w:szCs w:val="28"/>
          <w:highlight w:val="none"/>
        </w:rPr>
        <w:t>比选申请</w:t>
      </w:r>
      <w:r>
        <w:rPr>
          <w:bCs w:val="0"/>
          <w:sz w:val="28"/>
          <w:szCs w:val="28"/>
          <w:highlight w:val="none"/>
        </w:rPr>
        <w:t>函及</w:t>
      </w:r>
      <w:r>
        <w:rPr>
          <w:rFonts w:hint="eastAsia"/>
          <w:bCs w:val="0"/>
          <w:sz w:val="28"/>
          <w:szCs w:val="28"/>
          <w:highlight w:val="none"/>
        </w:rPr>
        <w:t>比选申请</w:t>
      </w:r>
      <w:r>
        <w:rPr>
          <w:bCs w:val="0"/>
          <w:sz w:val="28"/>
          <w:szCs w:val="28"/>
          <w:highlight w:val="none"/>
        </w:rPr>
        <w:t>函附录</w:t>
      </w:r>
    </w:p>
    <w:p w14:paraId="3E5744A2">
      <w:pPr>
        <w:pStyle w:val="5"/>
        <w:ind w:left="359" w:leftChars="171"/>
        <w:jc w:val="center"/>
        <w:rPr>
          <w:rFonts w:ascii="Times New Roman" w:hAnsi="Times New Roman"/>
          <w:sz w:val="28"/>
          <w:highlight w:val="none"/>
        </w:rPr>
      </w:pPr>
      <w:r>
        <w:rPr>
          <w:rFonts w:ascii="Times New Roman" w:hAnsi="Times New Roman"/>
          <w:sz w:val="28"/>
          <w:highlight w:val="none"/>
        </w:rPr>
        <w:t>(一)</w:t>
      </w:r>
      <w:r>
        <w:rPr>
          <w:rFonts w:hint="eastAsia" w:ascii="Times New Roman" w:hAnsi="Times New Roman"/>
          <w:sz w:val="28"/>
          <w:highlight w:val="none"/>
        </w:rPr>
        <w:t>比选申请</w:t>
      </w:r>
      <w:r>
        <w:rPr>
          <w:rFonts w:ascii="Times New Roman" w:hAnsi="Times New Roman"/>
          <w:sz w:val="28"/>
          <w:highlight w:val="none"/>
        </w:rPr>
        <w:t>函</w:t>
      </w:r>
    </w:p>
    <w:p w14:paraId="230EB827">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比选人</w:t>
      </w:r>
      <w:r>
        <w:rPr>
          <w:rFonts w:ascii="Times New Roman" w:hAnsi="Times New Roman" w:cs="Times New Roman"/>
          <w:color w:val="000000"/>
          <w:szCs w:val="21"/>
          <w:highlight w:val="none"/>
        </w:rPr>
        <w:t>名称）</w:t>
      </w:r>
      <w:r>
        <w:rPr>
          <w:rFonts w:hint="eastAsia" w:ascii="Times New Roman" w:hAnsi="Times New Roman" w:cs="Times New Roman"/>
          <w:color w:val="000000"/>
          <w:szCs w:val="21"/>
          <w:highlight w:val="none"/>
          <w:lang w:eastAsia="zh-CN"/>
        </w:rPr>
        <w:t>：</w:t>
      </w:r>
    </w:p>
    <w:p w14:paraId="3F0E45B8">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我方</w:t>
      </w:r>
      <w:r>
        <w:rPr>
          <w:rFonts w:hint="eastAsia" w:ascii="Times New Roman" w:hAnsi="Times New Roman" w:cs="Times New Roman"/>
          <w:szCs w:val="21"/>
          <w:highlight w:val="none"/>
          <w:lang w:eastAsia="zh-CN"/>
        </w:rPr>
        <w:t>已</w:t>
      </w:r>
      <w:r>
        <w:rPr>
          <w:rFonts w:ascii="Times New Roman" w:hAnsi="Times New Roman" w:cs="Times New Roman"/>
          <w:szCs w:val="21"/>
          <w:highlight w:val="none"/>
        </w:rPr>
        <w:t>仔细研究了</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u w:val="single"/>
          <w:lang w:val="en-US" w:eastAsia="zh-CN"/>
        </w:rPr>
        <w:t>项目名称</w:t>
      </w:r>
      <w:r>
        <w:rPr>
          <w:rFonts w:hint="eastAsia" w:ascii="Times New Roman" w:hAnsi="Times New Roman" w:cs="Times New Roman"/>
          <w:szCs w:val="21"/>
          <w:highlight w:val="none"/>
          <w:u w:val="single"/>
          <w:lang w:eastAsia="zh-CN"/>
        </w:rPr>
        <w:t>）</w:t>
      </w:r>
      <w:r>
        <w:rPr>
          <w:rFonts w:hint="eastAsia" w:ascii="Times New Roman" w:hAnsi="Times New Roman" w:cs="Times New Roman"/>
          <w:szCs w:val="21"/>
          <w:highlight w:val="none"/>
        </w:rPr>
        <w:t>比选</w:t>
      </w:r>
      <w:r>
        <w:rPr>
          <w:rFonts w:ascii="Times New Roman" w:hAnsi="Times New Roman" w:cs="Times New Roman"/>
          <w:szCs w:val="21"/>
          <w:highlight w:val="none"/>
        </w:rPr>
        <w:t>文件的全部内容，遵照《中华人民共和国</w:t>
      </w:r>
      <w:r>
        <w:rPr>
          <w:rFonts w:hint="eastAsia" w:ascii="Times New Roman" w:hAnsi="Times New Roman" w:cs="Times New Roman"/>
          <w:szCs w:val="21"/>
          <w:highlight w:val="none"/>
        </w:rPr>
        <w:t>招标投标</w:t>
      </w:r>
      <w:r>
        <w:rPr>
          <w:rFonts w:ascii="Times New Roman" w:hAnsi="Times New Roman" w:cs="Times New Roman"/>
          <w:szCs w:val="21"/>
          <w:highlight w:val="none"/>
        </w:rPr>
        <w:t>法》等有关规定，经踏勘项目现场和研究上述工程</w:t>
      </w:r>
      <w:r>
        <w:rPr>
          <w:rFonts w:hint="eastAsia" w:ascii="Times New Roman" w:hAnsi="Times New Roman" w:cs="Times New Roman"/>
          <w:szCs w:val="21"/>
          <w:highlight w:val="none"/>
        </w:rPr>
        <w:t>比选</w:t>
      </w:r>
      <w:r>
        <w:rPr>
          <w:rFonts w:ascii="Times New Roman" w:hAnsi="Times New Roman" w:cs="Times New Roman"/>
          <w:szCs w:val="21"/>
          <w:highlight w:val="none"/>
        </w:rPr>
        <w:t>文件、工程建设标准及其他有关文件后，我方愿按上述</w:t>
      </w:r>
      <w:r>
        <w:rPr>
          <w:rFonts w:hint="eastAsia" w:ascii="Times New Roman" w:hAnsi="Times New Roman" w:cs="Times New Roman"/>
          <w:szCs w:val="21"/>
          <w:highlight w:val="none"/>
        </w:rPr>
        <w:t>比选</w:t>
      </w:r>
      <w:r>
        <w:rPr>
          <w:rFonts w:ascii="Times New Roman" w:hAnsi="Times New Roman" w:cs="Times New Roman"/>
          <w:szCs w:val="21"/>
          <w:highlight w:val="none"/>
        </w:rPr>
        <w:t>文件、合同条款、工程建设标准的条件要求，承包本项目的</w:t>
      </w:r>
      <w:r>
        <w:rPr>
          <w:rFonts w:hint="eastAsia" w:ascii="Times New Roman" w:hAnsi="Times New Roman" w:cs="Times New Roman"/>
          <w:szCs w:val="21"/>
          <w:highlight w:val="none"/>
          <w:u w:val="single"/>
          <w:lang w:eastAsia="zh-CN"/>
        </w:rPr>
        <w:t>施工</w:t>
      </w:r>
      <w:r>
        <w:rPr>
          <w:rFonts w:ascii="Times New Roman" w:hAnsi="Times New Roman" w:cs="Times New Roman"/>
          <w:szCs w:val="21"/>
          <w:highlight w:val="none"/>
        </w:rPr>
        <w:t>，并承担质量缺陷保修责任。</w:t>
      </w:r>
    </w:p>
    <w:p w14:paraId="76B4EA71">
      <w:pPr>
        <w:pStyle w:val="11"/>
        <w:snapToGrid w:val="0"/>
        <w:spacing w:line="360" w:lineRule="auto"/>
        <w:ind w:firstLine="420" w:firstLineChars="200"/>
        <w:rPr>
          <w:rFonts w:hint="eastAsia" w:hAnsi="宋体" w:cs="宋体"/>
          <w:color w:val="auto"/>
          <w:highlight w:val="none"/>
        </w:rPr>
      </w:pPr>
      <w:r>
        <w:rPr>
          <w:rFonts w:hint="eastAsia" w:ascii="Times New Roman" w:hAnsi="Times New Roman" w:cs="Times New Roman"/>
          <w:szCs w:val="21"/>
          <w:highlight w:val="none"/>
          <w:lang w:val="en-US" w:eastAsia="zh-CN"/>
        </w:rPr>
        <w:t>1.</w:t>
      </w:r>
      <w:r>
        <w:rPr>
          <w:rFonts w:ascii="Times New Roman" w:hAnsi="Times New Roman" w:cs="Times New Roman"/>
          <w:szCs w:val="21"/>
          <w:highlight w:val="none"/>
        </w:rPr>
        <w:t>我方愿</w:t>
      </w:r>
      <w:r>
        <w:rPr>
          <w:rFonts w:hint="eastAsia" w:ascii="Times New Roman" w:hAnsi="Times New Roman" w:cs="Times New Roman"/>
          <w:szCs w:val="21"/>
          <w:highlight w:val="none"/>
          <w:lang w:eastAsia="zh-CN"/>
        </w:rPr>
        <w:t>以</w:t>
      </w:r>
      <w:r>
        <w:rPr>
          <w:rFonts w:hint="eastAsia" w:ascii="宋体" w:hAnsi="宋体" w:cs="宋体"/>
          <w:b w:val="0"/>
          <w:bCs w:val="0"/>
          <w:color w:val="auto"/>
          <w:kern w:val="2"/>
          <w:sz w:val="21"/>
          <w:szCs w:val="21"/>
          <w:highlight w:val="none"/>
          <w:lang w:eastAsia="zh-CN"/>
        </w:rPr>
        <w:t>招标控制价</w:t>
      </w:r>
      <w:r>
        <w:rPr>
          <w:rFonts w:hint="eastAsia" w:ascii="宋体" w:hAnsi="宋体" w:eastAsia="宋体" w:cs="宋体"/>
          <w:bCs w:val="0"/>
          <w:color w:val="auto"/>
          <w:highlight w:val="none"/>
          <w:lang w:val="en-US" w:eastAsia="zh-CN"/>
        </w:rPr>
        <w:t>清单基础上的取费比例</w:t>
      </w:r>
      <w:r>
        <w:rPr>
          <w:rFonts w:hint="eastAsia" w:ascii="宋体" w:hAnsi="宋体" w:eastAsia="宋体" w:cs="宋体"/>
          <w:bCs w:val="0"/>
          <w:color w:val="auto"/>
          <w:highlight w:val="none"/>
          <w:u w:val="single"/>
          <w:lang w:val="en-US" w:eastAsia="zh-CN"/>
        </w:rPr>
        <w:t xml:space="preserve">    </w:t>
      </w:r>
      <w:r>
        <w:rPr>
          <w:rFonts w:hint="eastAsia" w:hAnsi="宋体" w:cs="宋体"/>
          <w:bCs w:val="0"/>
          <w:color w:val="auto"/>
          <w:highlight w:val="none"/>
          <w:lang w:val="en-US" w:eastAsia="zh-CN"/>
        </w:rPr>
        <w:t>（保留小数点后2位）</w:t>
      </w:r>
      <w:r>
        <w:rPr>
          <w:rFonts w:hint="eastAsia" w:ascii="宋体" w:hAnsi="宋体" w:eastAsia="宋体" w:cs="宋体"/>
          <w:bCs w:val="0"/>
          <w:color w:val="auto"/>
          <w:highlight w:val="none"/>
          <w:lang w:val="en-US" w:eastAsia="zh-CN"/>
        </w:rPr>
        <w:t>作为</w:t>
      </w:r>
      <w:r>
        <w:rPr>
          <w:rFonts w:hint="eastAsia" w:hAnsi="宋体" w:cs="宋体"/>
          <w:color w:val="auto"/>
          <w:highlight w:val="none"/>
          <w:lang w:val="en-US" w:eastAsia="zh-CN"/>
        </w:rPr>
        <w:t>比选申请报价。</w:t>
      </w:r>
    </w:p>
    <w:p w14:paraId="664F81DB">
      <w:pPr>
        <w:pStyle w:val="11"/>
        <w:spacing w:line="360" w:lineRule="auto"/>
        <w:ind w:firstLine="420" w:firstLineChars="200"/>
        <w:rPr>
          <w:rFonts w:hint="default" w:hAnsi="宋体" w:eastAsia="宋体" w:cs="宋体"/>
          <w:color w:val="auto"/>
          <w:highlight w:val="none"/>
          <w:lang w:val="en-US" w:eastAsia="zh-CN"/>
        </w:rPr>
      </w:pPr>
      <w:r>
        <w:rPr>
          <w:rFonts w:hint="eastAsia" w:hAnsi="宋体" w:cs="宋体"/>
          <w:color w:val="auto"/>
          <w:highlight w:val="none"/>
        </w:rPr>
        <w:t>2.</w:t>
      </w:r>
      <w:r>
        <w:rPr>
          <w:rFonts w:hint="eastAsia" w:hAnsi="宋体" w:cs="宋体"/>
          <w:color w:val="auto"/>
          <w:highlight w:val="none"/>
          <w:lang w:eastAsia="zh-CN"/>
        </w:rPr>
        <w:t>我</w:t>
      </w:r>
      <w:r>
        <w:rPr>
          <w:rFonts w:hint="eastAsia" w:hAnsi="宋体" w:cs="宋体"/>
          <w:color w:val="auto"/>
          <w:highlight w:val="none"/>
          <w:lang w:val="en-US" w:eastAsia="zh-CN"/>
        </w:rPr>
        <w:t>方承诺同意本项目合同的计价、计量及结算方式，并严格依照施工图纸及</w:t>
      </w:r>
      <w:r>
        <w:rPr>
          <w:rFonts w:hint="eastAsia" w:hAnsi="宋体" w:cs="宋体"/>
          <w:color w:val="auto"/>
          <w:highlight w:val="none"/>
        </w:rPr>
        <w:t>合同约定实施和完成承包工程，修补工程中的任何缺陷。</w:t>
      </w:r>
    </w:p>
    <w:p w14:paraId="687E7D0F">
      <w:pPr>
        <w:spacing w:line="360" w:lineRule="auto"/>
        <w:ind w:firstLine="420" w:firstLineChars="200"/>
        <w:rPr>
          <w:rFonts w:hint="eastAsia" w:ascii="Times New Roman" w:hAnsi="Times New Roman" w:cs="Times New Roman"/>
          <w:szCs w:val="21"/>
          <w:highlight w:val="none"/>
          <w:lang w:val="en-US" w:eastAsia="zh-CN"/>
        </w:rPr>
      </w:pPr>
      <w:r>
        <w:rPr>
          <w:rFonts w:hint="eastAsia" w:ascii="Times New Roman" w:hAnsi="Times New Roman" w:cs="Times New Roman"/>
          <w:color w:val="000000"/>
          <w:kern w:val="0"/>
          <w:szCs w:val="21"/>
          <w:highlight w:val="none"/>
          <w:lang w:val="en-US" w:eastAsia="zh-CN"/>
        </w:rPr>
        <w:t>3.</w:t>
      </w:r>
      <w:r>
        <w:rPr>
          <w:rFonts w:hint="eastAsia" w:ascii="Times New Roman" w:hAnsi="Times New Roman" w:cs="Times New Roman"/>
          <w:color w:val="000000"/>
          <w:kern w:val="0"/>
          <w:szCs w:val="21"/>
          <w:highlight w:val="none"/>
        </w:rPr>
        <w:t>并承诺</w:t>
      </w:r>
      <w:r>
        <w:rPr>
          <w:rFonts w:cs="Times New Roman"/>
          <w:color w:val="000000"/>
          <w:kern w:val="0"/>
          <w:szCs w:val="21"/>
          <w:highlight w:val="none"/>
        </w:rPr>
        <w:t>自开工通知发出之日起</w:t>
      </w:r>
      <w:r>
        <w:rPr>
          <w:rFonts w:hint="eastAsia" w:cs="Times New Roman"/>
          <w:color w:val="000000"/>
          <w:kern w:val="0"/>
          <w:szCs w:val="21"/>
          <w:highlight w:val="none"/>
          <w:u w:val="single"/>
          <w:lang w:val="en-US" w:eastAsia="zh-CN"/>
        </w:rPr>
        <w:t xml:space="preserve">   </w:t>
      </w:r>
      <w:r>
        <w:rPr>
          <w:rFonts w:cs="Times New Roman"/>
          <w:color w:val="000000"/>
          <w:kern w:val="0"/>
          <w:szCs w:val="21"/>
          <w:highlight w:val="none"/>
        </w:rPr>
        <w:t>日历天</w:t>
      </w:r>
      <w:r>
        <w:rPr>
          <w:rFonts w:hint="eastAsia" w:ascii="Times New Roman" w:hAnsi="Times New Roman" w:cs="Times New Roman"/>
          <w:color w:val="000000"/>
          <w:kern w:val="0"/>
          <w:szCs w:val="21"/>
          <w:highlight w:val="none"/>
        </w:rPr>
        <w:t>完成比选文件比选公告中载明的比选范围所有工作</w:t>
      </w:r>
      <w:r>
        <w:rPr>
          <w:rFonts w:ascii="Times New Roman" w:hAnsi="Times New Roman" w:cs="Times New Roman"/>
          <w:szCs w:val="21"/>
          <w:highlight w:val="none"/>
        </w:rPr>
        <w:t>，修补工程中的任何缺陷</w:t>
      </w:r>
      <w:r>
        <w:rPr>
          <w:rFonts w:hint="eastAsia" w:ascii="Times New Roman" w:hAnsi="Times New Roman" w:cs="Times New Roman"/>
          <w:szCs w:val="21"/>
          <w:highlight w:val="none"/>
        </w:rPr>
        <w:t>直至</w:t>
      </w:r>
      <w:r>
        <w:rPr>
          <w:rFonts w:cs="Times New Roman"/>
          <w:color w:val="000000"/>
          <w:kern w:val="0"/>
          <w:szCs w:val="21"/>
          <w:highlight w:val="none"/>
        </w:rPr>
        <w:t>验收合格</w:t>
      </w:r>
      <w:r>
        <w:rPr>
          <w:rFonts w:ascii="Times New Roman" w:hAnsi="Times New Roman" w:cs="Times New Roman"/>
          <w:szCs w:val="21"/>
          <w:highlight w:val="none"/>
        </w:rPr>
        <w:t>。</w:t>
      </w:r>
    </w:p>
    <w:p w14:paraId="3F4FB01C">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4.</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有效期内不修改、撤销</w:t>
      </w:r>
      <w:r>
        <w:rPr>
          <w:rFonts w:hint="eastAsia" w:ascii="Times New Roman" w:hAnsi="Times New Roman" w:cs="Times New Roman"/>
          <w:szCs w:val="21"/>
          <w:highlight w:val="none"/>
        </w:rPr>
        <w:t>比选申请文件</w:t>
      </w:r>
      <w:r>
        <w:rPr>
          <w:rFonts w:ascii="Times New Roman" w:hAnsi="Times New Roman" w:cs="Times New Roman"/>
          <w:szCs w:val="21"/>
          <w:highlight w:val="none"/>
        </w:rPr>
        <w:t>。</w:t>
      </w:r>
    </w:p>
    <w:p w14:paraId="2E72B671">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5.</w:t>
      </w:r>
      <w:r>
        <w:rPr>
          <w:rFonts w:ascii="Times New Roman" w:hAnsi="Times New Roman" w:cs="Times New Roman"/>
          <w:szCs w:val="21"/>
          <w:highlight w:val="none"/>
        </w:rPr>
        <w:t>如我方</w:t>
      </w:r>
      <w:r>
        <w:rPr>
          <w:rFonts w:hint="eastAsia" w:ascii="Times New Roman" w:hAnsi="Times New Roman" w:cs="Times New Roman"/>
          <w:szCs w:val="21"/>
          <w:highlight w:val="none"/>
        </w:rPr>
        <w:t>中选</w:t>
      </w:r>
      <w:r>
        <w:rPr>
          <w:rFonts w:ascii="Times New Roman" w:hAnsi="Times New Roman" w:cs="Times New Roman"/>
          <w:szCs w:val="21"/>
          <w:highlight w:val="none"/>
        </w:rPr>
        <w:t>：</w:t>
      </w:r>
    </w:p>
    <w:p w14:paraId="4F60AE5F">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（l）我方承诺在收到</w:t>
      </w:r>
      <w:r>
        <w:rPr>
          <w:rFonts w:hint="eastAsia" w:ascii="Times New Roman" w:hAnsi="Times New Roman" w:cs="Times New Roman"/>
          <w:szCs w:val="21"/>
          <w:highlight w:val="none"/>
        </w:rPr>
        <w:t>中选</w:t>
      </w:r>
      <w:r>
        <w:rPr>
          <w:rFonts w:ascii="Times New Roman" w:hAnsi="Times New Roman" w:cs="Times New Roman"/>
          <w:szCs w:val="21"/>
          <w:highlight w:val="none"/>
        </w:rPr>
        <w:t>通知书后，在</w:t>
      </w:r>
      <w:r>
        <w:rPr>
          <w:rFonts w:hint="eastAsia" w:ascii="Times New Roman" w:hAnsi="Times New Roman" w:cs="Times New Roman"/>
          <w:szCs w:val="21"/>
          <w:highlight w:val="none"/>
        </w:rPr>
        <w:t>中选</w:t>
      </w:r>
      <w:r>
        <w:rPr>
          <w:rFonts w:ascii="Times New Roman" w:hAnsi="Times New Roman" w:cs="Times New Roman"/>
          <w:szCs w:val="21"/>
          <w:highlight w:val="none"/>
        </w:rPr>
        <w:t>通知书规定的期限内与你方签订合同。</w:t>
      </w:r>
    </w:p>
    <w:p w14:paraId="77A384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（2）随同本</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函递交的</w:t>
      </w:r>
      <w:r>
        <w:rPr>
          <w:rFonts w:hint="eastAsia" w:ascii="Times New Roman" w:hAnsi="Times New Roman" w:cs="Times New Roman"/>
          <w:szCs w:val="21"/>
          <w:highlight w:val="none"/>
        </w:rPr>
        <w:t>比选申请</w:t>
      </w:r>
      <w:r>
        <w:rPr>
          <w:rFonts w:ascii="Times New Roman" w:hAnsi="Times New Roman" w:cs="Times New Roman"/>
          <w:szCs w:val="21"/>
          <w:highlight w:val="none"/>
        </w:rPr>
        <w:t>函附录属于合同文件的组成部分。</w:t>
      </w:r>
    </w:p>
    <w:p w14:paraId="6BC9F30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3</w:t>
      </w:r>
      <w:r>
        <w:rPr>
          <w:rFonts w:ascii="Times New Roman" w:hAnsi="Times New Roman" w:cs="Times New Roman"/>
          <w:szCs w:val="21"/>
          <w:highlight w:val="none"/>
        </w:rPr>
        <w:t>）我方承诺按照</w:t>
      </w:r>
      <w:r>
        <w:rPr>
          <w:rFonts w:hint="eastAsia" w:ascii="Times New Roman" w:hAnsi="Times New Roman" w:cs="Times New Roman"/>
          <w:szCs w:val="21"/>
          <w:highlight w:val="none"/>
        </w:rPr>
        <w:t>比选</w:t>
      </w:r>
      <w:r>
        <w:rPr>
          <w:rFonts w:ascii="Times New Roman" w:hAnsi="Times New Roman" w:cs="Times New Roman"/>
          <w:szCs w:val="21"/>
          <w:highlight w:val="none"/>
        </w:rPr>
        <w:t>文件规定向你方递交履约担保。</w:t>
      </w:r>
    </w:p>
    <w:p w14:paraId="32091519">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rPr>
        <w:t>（4）</w:t>
      </w:r>
      <w:r>
        <w:rPr>
          <w:rFonts w:ascii="Times New Roman" w:hAnsi="Times New Roman" w:cs="Times New Roman"/>
          <w:szCs w:val="21"/>
          <w:highlight w:val="none"/>
        </w:rPr>
        <w:t>我方承诺在合同约定的期限内完成并移交全部合同工程。</w:t>
      </w:r>
    </w:p>
    <w:p w14:paraId="2AC0677D">
      <w:pPr>
        <w:spacing w:line="360" w:lineRule="auto"/>
        <w:ind w:firstLine="420" w:firstLineChars="200"/>
        <w:rPr>
          <w:rFonts w:ascii="Times New Roman" w:hAnsi="Times New Roman" w:cs="Times New Roman"/>
          <w:szCs w:val="21"/>
          <w:highlight w:val="none"/>
        </w:rPr>
      </w:pPr>
      <w:r>
        <w:rPr>
          <w:rFonts w:ascii="Times New Roman" w:hAnsi="Times New Roman" w:cs="Times New Roman"/>
          <w:szCs w:val="21"/>
          <w:highlight w:val="none"/>
        </w:rPr>
        <w:t>（</w:t>
      </w:r>
      <w:r>
        <w:rPr>
          <w:rFonts w:hint="eastAsia" w:ascii="Times New Roman" w:hAnsi="Times New Roman" w:cs="Times New Roman"/>
          <w:szCs w:val="21"/>
          <w:highlight w:val="none"/>
        </w:rPr>
        <w:t>5</w:t>
      </w:r>
      <w:r>
        <w:rPr>
          <w:rFonts w:ascii="Times New Roman" w:hAnsi="Times New Roman" w:cs="Times New Roman"/>
          <w:szCs w:val="21"/>
          <w:highlight w:val="none"/>
        </w:rPr>
        <w:t>）我方承诺在</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报价中已充分考虑了该工程的特点及</w:t>
      </w:r>
      <w:r>
        <w:rPr>
          <w:rFonts w:hint="eastAsia" w:ascii="Times New Roman" w:hAnsi="Times New Roman" w:cs="Times New Roman"/>
          <w:szCs w:val="21"/>
          <w:highlight w:val="none"/>
        </w:rPr>
        <w:t>比选人</w:t>
      </w:r>
      <w:r>
        <w:rPr>
          <w:rFonts w:ascii="Times New Roman" w:hAnsi="Times New Roman" w:cs="Times New Roman"/>
          <w:szCs w:val="21"/>
          <w:highlight w:val="none"/>
        </w:rPr>
        <w:t>对该工程的管理要求并已将上述因素综合计入</w:t>
      </w:r>
      <w:r>
        <w:rPr>
          <w:rFonts w:hint="eastAsia" w:ascii="Times New Roman" w:hAnsi="Times New Roman" w:cs="Times New Roman"/>
          <w:szCs w:val="21"/>
          <w:highlight w:val="none"/>
        </w:rPr>
        <w:t>比选申请</w:t>
      </w:r>
      <w:r>
        <w:rPr>
          <w:rFonts w:ascii="Times New Roman" w:hAnsi="Times New Roman" w:cs="Times New Roman"/>
          <w:szCs w:val="21"/>
          <w:highlight w:val="none"/>
        </w:rPr>
        <w:t>报价中。</w:t>
      </w:r>
    </w:p>
    <w:p w14:paraId="4FFC8D67">
      <w:pPr>
        <w:spacing w:line="360" w:lineRule="auto"/>
        <w:ind w:firstLine="420" w:firstLineChars="200"/>
        <w:rPr>
          <w:rFonts w:ascii="Times New Roman" w:hAnsi="Times New Roman" w:cs="Times New Roman"/>
          <w:szCs w:val="21"/>
          <w:highlight w:val="none"/>
        </w:rPr>
      </w:pPr>
      <w:r>
        <w:rPr>
          <w:rFonts w:hint="eastAsia" w:ascii="Times New Roman" w:hAnsi="Times New Roman" w:cs="Times New Roman"/>
          <w:szCs w:val="21"/>
          <w:highlight w:val="none"/>
          <w:lang w:val="en-US" w:eastAsia="zh-CN"/>
        </w:rPr>
        <w:t>6.</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（其他补充说明）。</w:t>
      </w:r>
    </w:p>
    <w:p w14:paraId="0A88FE0E">
      <w:pPr>
        <w:wordWrap w:val="0"/>
        <w:spacing w:line="360" w:lineRule="auto"/>
        <w:ind w:firstLine="420" w:firstLineChars="200"/>
        <w:jc w:val="right"/>
        <w:rPr>
          <w:rFonts w:ascii="Times New Roman" w:hAnsi="Times New Roman" w:cs="Times New Roman"/>
          <w:color w:val="000000"/>
          <w:szCs w:val="21"/>
          <w:highlight w:val="none"/>
        </w:rPr>
      </w:pPr>
    </w:p>
    <w:p w14:paraId="0024E170">
      <w:pPr>
        <w:wordWrap w:val="0"/>
        <w:spacing w:line="360" w:lineRule="auto"/>
        <w:ind w:firstLine="420" w:firstLineChars="200"/>
        <w:jc w:val="right"/>
        <w:rPr>
          <w:rFonts w:ascii="Times New Roman" w:hAnsi="Times New Roman" w:cs="Times New Roman"/>
          <w:color w:val="000000"/>
          <w:szCs w:val="21"/>
          <w:highlight w:val="none"/>
        </w:rPr>
      </w:pPr>
    </w:p>
    <w:p w14:paraId="15FEF83C">
      <w:pPr>
        <w:wordWrap w:val="0"/>
        <w:spacing w:line="360" w:lineRule="auto"/>
        <w:ind w:firstLine="420" w:firstLineChars="2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（盖单位章）</w:t>
      </w:r>
    </w:p>
    <w:p w14:paraId="1F898E3B">
      <w:pPr>
        <w:spacing w:line="360" w:lineRule="auto"/>
        <w:ind w:firstLine="420" w:firstLineChars="2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szCs w:val="21"/>
          <w:highlight w:val="none"/>
        </w:rPr>
        <w:t>或其委托代理人：</w:t>
      </w:r>
      <w:r>
        <w:rPr>
          <w:rFonts w:ascii="Times New Roman" w:hAnsi="Times New Roman" w:cs="Times New Roman"/>
          <w:szCs w:val="21"/>
          <w:highlight w:val="none"/>
          <w:u w:val="single"/>
        </w:rPr>
        <w:t xml:space="preserve">    </w:t>
      </w:r>
      <w:r>
        <w:rPr>
          <w:rFonts w:hint="eastAsia" w:ascii="Times New Roman" w:hAnsi="Times New Roman" w:cs="Times New Roman"/>
          <w:szCs w:val="21"/>
          <w:highlight w:val="none"/>
          <w:u w:val="single"/>
        </w:rPr>
        <w:t xml:space="preserve">   </w:t>
      </w:r>
      <w:r>
        <w:rPr>
          <w:rFonts w:ascii="Times New Roman" w:hAnsi="Times New Roman" w:cs="Times New Roman"/>
          <w:szCs w:val="21"/>
          <w:highlight w:val="none"/>
          <w:u w:val="single"/>
        </w:rPr>
        <w:t xml:space="preserve">     </w:t>
      </w:r>
      <w:r>
        <w:rPr>
          <w:rFonts w:ascii="Times New Roman" w:hAnsi="Times New Roman" w:cs="Times New Roman"/>
          <w:szCs w:val="21"/>
          <w:highlight w:val="none"/>
        </w:rPr>
        <w:t xml:space="preserve"> (签字</w:t>
      </w:r>
      <w:r>
        <w:rPr>
          <w:rFonts w:ascii="Times New Roman" w:hAnsi="Times New Roman" w:cs="Times New Roman"/>
          <w:color w:val="000000"/>
          <w:szCs w:val="21"/>
          <w:highlight w:val="none"/>
        </w:rPr>
        <w:t>）</w:t>
      </w:r>
    </w:p>
    <w:p w14:paraId="771DD3F4">
      <w:pPr>
        <w:spacing w:line="360" w:lineRule="auto"/>
        <w:ind w:firstLine="420" w:firstLineChars="200"/>
        <w:jc w:val="right"/>
        <w:rPr>
          <w:rFonts w:ascii="Times New Roman" w:hAnsi="Times New Roman" w:cs="Times New Roman"/>
          <w:szCs w:val="21"/>
          <w:highlight w:val="none"/>
        </w:rPr>
      </w:pP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年</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月</w:t>
      </w:r>
      <w:r>
        <w:rPr>
          <w:rFonts w:ascii="Times New Roman" w:hAnsi="Times New Roman" w:cs="Times New Roman"/>
          <w:szCs w:val="21"/>
          <w:highlight w:val="none"/>
          <w:u w:val="single"/>
        </w:rPr>
        <w:t xml:space="preserve">    </w:t>
      </w:r>
      <w:r>
        <w:rPr>
          <w:rFonts w:ascii="Times New Roman" w:hAnsi="Times New Roman" w:cs="Times New Roman"/>
          <w:color w:val="000000"/>
          <w:szCs w:val="21"/>
          <w:highlight w:val="none"/>
        </w:rPr>
        <w:t>日</w:t>
      </w:r>
    </w:p>
    <w:p w14:paraId="20B7AAAD">
      <w:pPr>
        <w:spacing w:line="360" w:lineRule="auto"/>
        <w:ind w:firstLine="420" w:firstLineChars="200"/>
        <w:jc w:val="left"/>
        <w:rPr>
          <w:rFonts w:ascii="Times New Roman" w:hAnsi="Times New Roman" w:cs="Times New Roman"/>
          <w:szCs w:val="21"/>
          <w:highlight w:val="none"/>
        </w:rPr>
      </w:pPr>
    </w:p>
    <w:p w14:paraId="69C59227">
      <w:pPr>
        <w:pStyle w:val="5"/>
        <w:jc w:val="center"/>
        <w:rPr>
          <w:rFonts w:ascii="Times New Roman" w:hAnsi="Times New Roman"/>
          <w:color w:val="000000"/>
          <w:sz w:val="28"/>
          <w:highlight w:val="none"/>
        </w:rPr>
      </w:pPr>
      <w:r>
        <w:rPr>
          <w:rFonts w:ascii="Times New Roman" w:hAnsi="Times New Roman"/>
          <w:color w:val="000000"/>
          <w:highlight w:val="none"/>
        </w:rPr>
        <w:br w:type="page"/>
      </w:r>
      <w:r>
        <w:rPr>
          <w:rFonts w:ascii="Times New Roman" w:hAnsi="Times New Roman"/>
          <w:color w:val="000000"/>
          <w:sz w:val="28"/>
          <w:highlight w:val="none"/>
        </w:rPr>
        <w:t>(二)</w:t>
      </w:r>
      <w:r>
        <w:rPr>
          <w:rFonts w:hint="eastAsia" w:ascii="Times New Roman" w:hAnsi="Times New Roman"/>
          <w:color w:val="000000"/>
          <w:sz w:val="28"/>
          <w:highlight w:val="none"/>
        </w:rPr>
        <w:t>比选申请文件</w:t>
      </w:r>
      <w:r>
        <w:rPr>
          <w:rFonts w:ascii="Times New Roman" w:hAnsi="Times New Roman"/>
          <w:color w:val="000000"/>
          <w:sz w:val="28"/>
          <w:highlight w:val="none"/>
        </w:rPr>
        <w:t>真实性和不存在限制</w:t>
      </w:r>
      <w:r>
        <w:rPr>
          <w:rFonts w:hint="eastAsia" w:ascii="Times New Roman" w:hAnsi="Times New Roman"/>
          <w:color w:val="000000"/>
          <w:sz w:val="28"/>
          <w:highlight w:val="none"/>
        </w:rPr>
        <w:t>比选申请的</w:t>
      </w:r>
      <w:r>
        <w:rPr>
          <w:rFonts w:ascii="Times New Roman" w:hAnsi="Times New Roman"/>
          <w:color w:val="000000"/>
          <w:sz w:val="28"/>
          <w:highlight w:val="none"/>
        </w:rPr>
        <w:t>情形声明</w:t>
      </w:r>
    </w:p>
    <w:p w14:paraId="53902ACF">
      <w:pPr>
        <w:spacing w:line="360" w:lineRule="auto"/>
        <w:ind w:left="359" w:leftChars="171"/>
        <w:rPr>
          <w:rFonts w:ascii="Times New Roman" w:hAnsi="Times New Roman" w:cs="Times New Roman"/>
          <w:color w:val="000000"/>
          <w:highlight w:val="none"/>
          <w:u w:val="single"/>
        </w:rPr>
      </w:pPr>
    </w:p>
    <w:p w14:paraId="77E93CDD">
      <w:pPr>
        <w:spacing w:line="360" w:lineRule="auto"/>
        <w:ind w:left="359" w:leftChars="171"/>
        <w:rPr>
          <w:rFonts w:ascii="Times New Roman" w:hAnsi="Times New Roman" w:cs="Times New Roman"/>
          <w:color w:val="000000"/>
          <w:highlight w:val="none"/>
        </w:rPr>
      </w:pPr>
      <w:r>
        <w:rPr>
          <w:rFonts w:ascii="Times New Roman" w:hAnsi="Times New Roman" w:cs="Times New Roman"/>
          <w:color w:val="000000"/>
          <w:highlight w:val="none"/>
        </w:rPr>
        <w:t>____________________（</w:t>
      </w:r>
      <w:r>
        <w:rPr>
          <w:rFonts w:hint="eastAsia" w:ascii="Times New Roman" w:hAnsi="Times New Roman" w:cs="Times New Roman"/>
          <w:color w:val="000000"/>
          <w:highlight w:val="none"/>
        </w:rPr>
        <w:t>比选人</w:t>
      </w:r>
      <w:r>
        <w:rPr>
          <w:rFonts w:ascii="Times New Roman" w:hAnsi="Times New Roman" w:cs="Times New Roman"/>
          <w:color w:val="000000"/>
          <w:highlight w:val="none"/>
        </w:rPr>
        <w:t>名称）：</w:t>
      </w:r>
    </w:p>
    <w:p w14:paraId="605E95EC">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我方在此声明，所递交的</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（包括有关资料、澄清）真实可信，不存在虚假（包括隐瞒）。</w:t>
      </w:r>
    </w:p>
    <w:p w14:paraId="357D807A">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经我方认真核查，本</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不存在</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须知”前附表中第9项和第26项规定的任何一种情形。</w:t>
      </w:r>
    </w:p>
    <w:p w14:paraId="6E84D6DF">
      <w:pPr>
        <w:spacing w:line="360" w:lineRule="auto"/>
        <w:ind w:left="359" w:leftChars="171" w:firstLine="435"/>
        <w:rPr>
          <w:rFonts w:ascii="Times New Roman" w:hAnsi="Times New Roman" w:cs="Times New Roman"/>
          <w:color w:val="000000"/>
          <w:highlight w:val="none"/>
        </w:rPr>
      </w:pPr>
      <w:r>
        <w:rPr>
          <w:rFonts w:ascii="Times New Roman" w:hAnsi="Times New Roman" w:cs="Times New Roman"/>
          <w:color w:val="000000"/>
          <w:highlight w:val="none"/>
        </w:rPr>
        <w:t>我方承诺，如存在以上两项中虚假</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行为，我方自愿按</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须知”前附表第26项</w:t>
      </w:r>
      <w:r>
        <w:rPr>
          <w:rFonts w:hint="eastAsia" w:ascii="Times New Roman" w:hAnsi="Times New Roman" w:cs="Times New Roman"/>
          <w:color w:val="000000"/>
          <w:highlight w:val="none"/>
        </w:rPr>
        <w:t>比选申请文件</w:t>
      </w:r>
      <w:r>
        <w:rPr>
          <w:rFonts w:ascii="Times New Roman" w:hAnsi="Times New Roman" w:cs="Times New Roman"/>
          <w:color w:val="000000"/>
          <w:highlight w:val="none"/>
        </w:rPr>
        <w:t>的真实性要求和其他有关规定承担责任。</w:t>
      </w:r>
    </w:p>
    <w:p w14:paraId="52338815">
      <w:pPr>
        <w:spacing w:line="360" w:lineRule="auto"/>
        <w:jc w:val="center"/>
        <w:rPr>
          <w:rFonts w:ascii="Times New Roman" w:hAnsi="Times New Roman" w:cs="Times New Roman"/>
          <w:b/>
          <w:color w:val="000000"/>
          <w:sz w:val="24"/>
          <w:highlight w:val="none"/>
        </w:rPr>
      </w:pPr>
    </w:p>
    <w:p w14:paraId="4FEA4D70">
      <w:pPr>
        <w:spacing w:line="360" w:lineRule="auto"/>
        <w:jc w:val="center"/>
        <w:rPr>
          <w:rFonts w:ascii="Times New Roman" w:hAnsi="Times New Roman" w:cs="Times New Roman"/>
          <w:b/>
          <w:color w:val="000000"/>
          <w:sz w:val="24"/>
          <w:highlight w:val="none"/>
        </w:rPr>
      </w:pPr>
    </w:p>
    <w:p w14:paraId="76371FAC">
      <w:pPr>
        <w:spacing w:line="360" w:lineRule="auto"/>
        <w:jc w:val="center"/>
        <w:rPr>
          <w:rFonts w:ascii="Times New Roman" w:hAnsi="Times New Roman" w:cs="Times New Roman"/>
          <w:b/>
          <w:color w:val="000000"/>
          <w:sz w:val="24"/>
          <w:highlight w:val="none"/>
        </w:rPr>
      </w:pPr>
    </w:p>
    <w:p w14:paraId="4479E842">
      <w:pPr>
        <w:spacing w:line="360" w:lineRule="auto"/>
        <w:jc w:val="center"/>
        <w:rPr>
          <w:rFonts w:ascii="Times New Roman" w:hAnsi="Times New Roman" w:cs="Times New Roman"/>
          <w:b/>
          <w:color w:val="000000"/>
          <w:sz w:val="24"/>
          <w:highlight w:val="none"/>
        </w:rPr>
      </w:pPr>
    </w:p>
    <w:p w14:paraId="5FEBE0F3">
      <w:pPr>
        <w:spacing w:line="360" w:lineRule="auto"/>
        <w:jc w:val="center"/>
        <w:rPr>
          <w:rFonts w:ascii="Times New Roman" w:hAnsi="Times New Roman" w:cs="Times New Roman"/>
          <w:b/>
          <w:color w:val="000000"/>
          <w:sz w:val="24"/>
          <w:highlight w:val="none"/>
        </w:rPr>
      </w:pPr>
    </w:p>
    <w:p w14:paraId="6C593811">
      <w:pPr>
        <w:spacing w:line="360" w:lineRule="auto"/>
        <w:jc w:val="center"/>
        <w:rPr>
          <w:rFonts w:ascii="Times New Roman" w:hAnsi="Times New Roman" w:cs="Times New Roman"/>
          <w:b/>
          <w:color w:val="000000"/>
          <w:sz w:val="24"/>
          <w:highlight w:val="none"/>
        </w:rPr>
      </w:pPr>
    </w:p>
    <w:p w14:paraId="484A2AB8">
      <w:pPr>
        <w:spacing w:line="360" w:lineRule="auto"/>
        <w:jc w:val="center"/>
        <w:rPr>
          <w:rFonts w:ascii="Times New Roman" w:hAnsi="Times New Roman" w:cs="Times New Roman"/>
          <w:b/>
          <w:color w:val="000000"/>
          <w:sz w:val="24"/>
          <w:highlight w:val="none"/>
        </w:rPr>
      </w:pPr>
    </w:p>
    <w:p w14:paraId="0A8B3832">
      <w:pPr>
        <w:spacing w:line="360" w:lineRule="auto"/>
        <w:ind w:firstLine="3990" w:firstLineChars="1900"/>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名称：______________(盖单位章)</w:t>
      </w:r>
    </w:p>
    <w:p w14:paraId="206F10A7">
      <w:pPr>
        <w:spacing w:line="360" w:lineRule="auto"/>
        <w:ind w:firstLine="3990" w:firstLineChars="19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法定代表人或其委托代理人：_</w:t>
      </w:r>
      <w:r>
        <w:rPr>
          <w:rFonts w:ascii="Times New Roman" w:hAnsi="Times New Roman" w:cs="Times New Roman"/>
          <w:color w:val="000000"/>
          <w:szCs w:val="21"/>
          <w:highlight w:val="none"/>
          <w:u w:val="single"/>
        </w:rPr>
        <w:t>_</w:t>
      </w:r>
      <w:r>
        <w:rPr>
          <w:rFonts w:hint="eastAsia"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u w:val="single"/>
        </w:rPr>
        <w:t>__</w:t>
      </w:r>
      <w:r>
        <w:rPr>
          <w:rFonts w:ascii="Times New Roman" w:hAnsi="Times New Roman" w:cs="Times New Roman"/>
          <w:color w:val="000000"/>
          <w:szCs w:val="21"/>
          <w:highlight w:val="none"/>
        </w:rPr>
        <w:t>__(签字)</w:t>
      </w:r>
    </w:p>
    <w:p w14:paraId="4B671A3C">
      <w:pPr>
        <w:spacing w:line="360" w:lineRule="auto"/>
        <w:ind w:firstLine="5565" w:firstLineChars="26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______年_____月_____日</w:t>
      </w:r>
    </w:p>
    <w:p w14:paraId="1A65CA62">
      <w:pPr>
        <w:spacing w:line="360" w:lineRule="auto"/>
        <w:ind w:firstLine="5565" w:firstLineChars="2650"/>
        <w:jc w:val="right"/>
        <w:rPr>
          <w:rFonts w:ascii="Times New Roman" w:hAnsi="Times New Roman" w:cs="Times New Roman"/>
          <w:color w:val="000000"/>
          <w:szCs w:val="21"/>
          <w:highlight w:val="none"/>
        </w:rPr>
      </w:pPr>
    </w:p>
    <w:p w14:paraId="1766AE80">
      <w:pPr>
        <w:spacing w:line="360" w:lineRule="auto"/>
        <w:ind w:firstLine="6385" w:firstLineChars="2650"/>
        <w:jc w:val="right"/>
        <w:rPr>
          <w:rFonts w:ascii="Times New Roman" w:hAnsi="Times New Roman" w:cs="Times New Roman"/>
          <w:b/>
          <w:color w:val="000000"/>
          <w:sz w:val="24"/>
          <w:highlight w:val="none"/>
        </w:rPr>
      </w:pPr>
    </w:p>
    <w:p w14:paraId="4688BA7C">
      <w:pPr>
        <w:spacing w:line="360" w:lineRule="auto"/>
        <w:rPr>
          <w:rFonts w:ascii="Times New Roman" w:hAnsi="Times New Roman" w:cs="Times New Roman"/>
          <w:color w:val="000000"/>
          <w:highlight w:val="none"/>
        </w:rPr>
      </w:pPr>
    </w:p>
    <w:p w14:paraId="0117B6FA">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72925117">
      <w:pPr>
        <w:pStyle w:val="5"/>
        <w:jc w:val="center"/>
        <w:rPr>
          <w:rFonts w:ascii="Times New Roman" w:hAnsi="Times New Roman"/>
          <w:color w:val="000000"/>
          <w:sz w:val="28"/>
          <w:highlight w:val="none"/>
        </w:rPr>
      </w:pPr>
      <w:r>
        <w:rPr>
          <w:rFonts w:ascii="Times New Roman" w:hAnsi="Times New Roman"/>
          <w:color w:val="000000"/>
          <w:sz w:val="28"/>
          <w:highlight w:val="none"/>
        </w:rPr>
        <w:t xml:space="preserve">(三) </w:t>
      </w:r>
      <w:r>
        <w:rPr>
          <w:rFonts w:hint="eastAsia" w:ascii="Times New Roman" w:hAnsi="Times New Roman"/>
          <w:color w:val="000000"/>
          <w:sz w:val="28"/>
          <w:highlight w:val="none"/>
        </w:rPr>
        <w:t>比选申请</w:t>
      </w:r>
      <w:r>
        <w:rPr>
          <w:rFonts w:ascii="Times New Roman" w:hAnsi="Times New Roman"/>
          <w:color w:val="000000"/>
          <w:sz w:val="28"/>
          <w:highlight w:val="none"/>
        </w:rPr>
        <w:t>函附录</w:t>
      </w:r>
    </w:p>
    <w:tbl>
      <w:tblPr>
        <w:tblStyle w:val="15"/>
        <w:tblW w:w="510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3173"/>
        <w:gridCol w:w="3403"/>
        <w:gridCol w:w="1349"/>
      </w:tblGrid>
      <w:tr w14:paraId="6F9A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29AB7F1F">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755" w:type="pct"/>
            <w:tcBorders>
              <w:top w:val="single" w:color="auto" w:sz="4" w:space="0"/>
              <w:left w:val="single" w:color="auto" w:sz="4" w:space="0"/>
              <w:bottom w:val="single" w:color="auto" w:sz="4" w:space="0"/>
              <w:right w:val="single" w:color="auto" w:sz="4" w:space="0"/>
            </w:tcBorders>
            <w:vAlign w:val="center"/>
          </w:tcPr>
          <w:p w14:paraId="168182F0">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条款名称</w:t>
            </w:r>
          </w:p>
        </w:tc>
        <w:tc>
          <w:tcPr>
            <w:tcW w:w="1882" w:type="pct"/>
            <w:tcBorders>
              <w:top w:val="single" w:color="auto" w:sz="4" w:space="0"/>
              <w:left w:val="single" w:color="auto" w:sz="4" w:space="0"/>
              <w:bottom w:val="single" w:color="auto" w:sz="4" w:space="0"/>
              <w:right w:val="single" w:color="auto" w:sz="4" w:space="0"/>
            </w:tcBorders>
            <w:vAlign w:val="center"/>
          </w:tcPr>
          <w:p w14:paraId="34BB0505">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约定内容</w:t>
            </w:r>
          </w:p>
        </w:tc>
        <w:tc>
          <w:tcPr>
            <w:tcW w:w="746" w:type="pct"/>
            <w:tcBorders>
              <w:top w:val="single" w:color="auto" w:sz="4" w:space="0"/>
              <w:left w:val="single" w:color="auto" w:sz="4" w:space="0"/>
              <w:bottom w:val="single" w:color="auto" w:sz="4" w:space="0"/>
              <w:right w:val="single" w:color="auto" w:sz="4" w:space="0"/>
            </w:tcBorders>
            <w:vAlign w:val="center"/>
          </w:tcPr>
          <w:p w14:paraId="5B1C5489">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承诺</w:t>
            </w:r>
          </w:p>
          <w:p w14:paraId="43A7A937">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（是/否）</w:t>
            </w:r>
          </w:p>
        </w:tc>
      </w:tr>
      <w:tr w14:paraId="3A6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0586505E">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1</w:t>
            </w:r>
          </w:p>
        </w:tc>
        <w:tc>
          <w:tcPr>
            <w:tcW w:w="1755" w:type="pct"/>
            <w:tcBorders>
              <w:top w:val="single" w:color="auto" w:sz="4" w:space="0"/>
              <w:left w:val="single" w:color="auto" w:sz="4" w:space="0"/>
              <w:bottom w:val="single" w:color="auto" w:sz="4" w:space="0"/>
              <w:right w:val="single" w:color="auto" w:sz="4" w:space="0"/>
            </w:tcBorders>
            <w:vAlign w:val="center"/>
          </w:tcPr>
          <w:p w14:paraId="2C8FAF15">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比选申请</w:t>
            </w:r>
            <w:r>
              <w:rPr>
                <w:rFonts w:ascii="Times New Roman" w:hAnsi="Times New Roman" w:cs="Times New Roman"/>
                <w:color w:val="000000"/>
                <w:kern w:val="0"/>
                <w:szCs w:val="21"/>
                <w:highlight w:val="none"/>
              </w:rPr>
              <w:t>有效期</w:t>
            </w:r>
          </w:p>
        </w:tc>
        <w:tc>
          <w:tcPr>
            <w:tcW w:w="1882" w:type="pct"/>
            <w:tcBorders>
              <w:top w:val="single" w:color="auto" w:sz="4" w:space="0"/>
              <w:left w:val="single" w:color="auto" w:sz="4" w:space="0"/>
              <w:bottom w:val="single" w:color="auto" w:sz="4" w:space="0"/>
              <w:right w:val="single" w:color="auto" w:sz="4" w:space="0"/>
            </w:tcBorders>
            <w:vAlign w:val="center"/>
          </w:tcPr>
          <w:p w14:paraId="31E59BC6">
            <w:pPr>
              <w:autoSpaceDE w:val="0"/>
              <w:autoSpaceDN w:val="0"/>
              <w:adjustRightInd w:val="0"/>
              <w:spacing w:line="360" w:lineRule="auto"/>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天数</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color w:val="000000"/>
                <w:szCs w:val="21"/>
                <w:highlight w:val="none"/>
              </w:rPr>
              <w:t>个日历天（从</w:t>
            </w:r>
            <w:r>
              <w:rPr>
                <w:rFonts w:hint="eastAsia" w:ascii="Times New Roman" w:hAnsi="Times New Roman" w:cs="Times New Roman"/>
                <w:color w:val="000000"/>
                <w:szCs w:val="21"/>
                <w:highlight w:val="none"/>
              </w:rPr>
              <w:t>比选申请文件递交</w:t>
            </w:r>
            <w:r>
              <w:rPr>
                <w:rFonts w:ascii="Times New Roman" w:hAnsi="Times New Roman" w:cs="Times New Roman"/>
                <w:color w:val="000000"/>
                <w:szCs w:val="21"/>
                <w:highlight w:val="none"/>
              </w:rPr>
              <w:t>截止之日算起）</w:t>
            </w:r>
          </w:p>
        </w:tc>
        <w:tc>
          <w:tcPr>
            <w:tcW w:w="746" w:type="pct"/>
            <w:tcBorders>
              <w:top w:val="single" w:color="auto" w:sz="4" w:space="0"/>
              <w:left w:val="single" w:color="auto" w:sz="4" w:space="0"/>
              <w:bottom w:val="single" w:color="auto" w:sz="4" w:space="0"/>
              <w:right w:val="single" w:color="auto" w:sz="4" w:space="0"/>
            </w:tcBorders>
            <w:vAlign w:val="center"/>
          </w:tcPr>
          <w:p w14:paraId="5D9784D1">
            <w:pPr>
              <w:spacing w:line="360" w:lineRule="auto"/>
              <w:jc w:val="center"/>
              <w:rPr>
                <w:rFonts w:ascii="Times New Roman" w:hAnsi="Times New Roman" w:cs="Times New Roman"/>
                <w:color w:val="000000"/>
                <w:szCs w:val="21"/>
                <w:highlight w:val="none"/>
              </w:rPr>
            </w:pPr>
          </w:p>
        </w:tc>
      </w:tr>
      <w:tr w14:paraId="3AB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A709765">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2</w:t>
            </w:r>
          </w:p>
        </w:tc>
        <w:tc>
          <w:tcPr>
            <w:tcW w:w="1755" w:type="pct"/>
            <w:tcBorders>
              <w:top w:val="single" w:color="auto" w:sz="4" w:space="0"/>
              <w:left w:val="single" w:color="auto" w:sz="4" w:space="0"/>
              <w:bottom w:val="single" w:color="auto" w:sz="4" w:space="0"/>
              <w:right w:val="single" w:color="auto" w:sz="4" w:space="0"/>
            </w:tcBorders>
            <w:vAlign w:val="center"/>
          </w:tcPr>
          <w:p w14:paraId="4499106B">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计划</w:t>
            </w:r>
            <w:r>
              <w:rPr>
                <w:rFonts w:ascii="Times New Roman" w:hAnsi="Times New Roman" w:cs="Times New Roman"/>
                <w:color w:val="000000"/>
                <w:szCs w:val="21"/>
                <w:highlight w:val="none"/>
              </w:rPr>
              <w:t>工期</w:t>
            </w:r>
          </w:p>
        </w:tc>
        <w:tc>
          <w:tcPr>
            <w:tcW w:w="1882" w:type="pct"/>
            <w:tcBorders>
              <w:top w:val="single" w:color="auto" w:sz="4" w:space="0"/>
              <w:left w:val="single" w:color="auto" w:sz="4" w:space="0"/>
              <w:bottom w:val="single" w:color="auto" w:sz="4" w:space="0"/>
              <w:right w:val="single" w:color="auto" w:sz="4" w:space="0"/>
            </w:tcBorders>
            <w:vAlign w:val="center"/>
          </w:tcPr>
          <w:p w14:paraId="690FEE9B">
            <w:pPr>
              <w:spacing w:line="360" w:lineRule="auto"/>
              <w:rPr>
                <w:rFonts w:ascii="Times New Roman" w:hAnsi="Times New Roman" w:cs="Times New Roman"/>
                <w:color w:val="000000"/>
                <w:szCs w:val="21"/>
                <w:highlight w:val="none"/>
              </w:rPr>
            </w:pPr>
            <w:r>
              <w:rPr>
                <w:rFonts w:hint="eastAsia" w:ascii="Times New Roman" w:hAnsi="Times New Roman" w:cs="Times New Roman"/>
                <w:szCs w:val="21"/>
                <w:highlight w:val="none"/>
              </w:rPr>
              <w:t>自开工通知发出之日起</w:t>
            </w:r>
            <w:r>
              <w:rPr>
                <w:rFonts w:hint="eastAsia" w:ascii="Times New Roman" w:hAnsi="Times New Roman" w:cs="Times New Roman"/>
                <w:color w:val="000000"/>
                <w:szCs w:val="21"/>
                <w:highlight w:val="none"/>
                <w:u w:val="single"/>
                <w:lang w:val="en-US" w:eastAsia="zh-CN"/>
              </w:rPr>
              <w:t xml:space="preserve"> 60 </w:t>
            </w:r>
            <w:r>
              <w:rPr>
                <w:rFonts w:ascii="Times New Roman" w:hAnsi="Times New Roman" w:cs="Times New Roman"/>
                <w:szCs w:val="21"/>
                <w:highlight w:val="none"/>
              </w:rPr>
              <w:t>个日历天</w:t>
            </w:r>
            <w:r>
              <w:rPr>
                <w:rFonts w:hint="eastAsia" w:ascii="Times New Roman" w:hAnsi="Times New Roman" w:cs="Times New Roman"/>
                <w:szCs w:val="21"/>
                <w:highlight w:val="none"/>
              </w:rPr>
              <w:t>内</w:t>
            </w:r>
          </w:p>
        </w:tc>
        <w:tc>
          <w:tcPr>
            <w:tcW w:w="746" w:type="pct"/>
            <w:tcBorders>
              <w:top w:val="single" w:color="auto" w:sz="4" w:space="0"/>
              <w:left w:val="single" w:color="auto" w:sz="4" w:space="0"/>
              <w:bottom w:val="single" w:color="auto" w:sz="4" w:space="0"/>
              <w:right w:val="single" w:color="auto" w:sz="4" w:space="0"/>
            </w:tcBorders>
            <w:vAlign w:val="center"/>
          </w:tcPr>
          <w:p w14:paraId="2CA5E4A0">
            <w:pPr>
              <w:spacing w:line="360" w:lineRule="auto"/>
              <w:jc w:val="center"/>
              <w:rPr>
                <w:rFonts w:ascii="Times New Roman" w:hAnsi="Times New Roman" w:cs="Times New Roman"/>
                <w:color w:val="000000"/>
                <w:szCs w:val="21"/>
                <w:highlight w:val="none"/>
              </w:rPr>
            </w:pPr>
          </w:p>
        </w:tc>
      </w:tr>
      <w:tr w14:paraId="7C3C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5FDE2865">
            <w:pPr>
              <w:spacing w:line="360" w:lineRule="auto"/>
              <w:jc w:val="center"/>
              <w:rPr>
                <w:rFonts w:ascii="Times New Roman" w:hAnsi="Times New Roman" w:cs="Times New Roman"/>
                <w:color w:val="000000"/>
                <w:kern w:val="0"/>
                <w:szCs w:val="21"/>
                <w:highlight w:val="none"/>
              </w:rPr>
            </w:pPr>
            <w:r>
              <w:rPr>
                <w:rFonts w:hint="eastAsia" w:ascii="Times New Roman" w:hAnsi="Times New Roman" w:cs="Times New Roman"/>
                <w:color w:val="000000"/>
                <w:kern w:val="0"/>
                <w:szCs w:val="21"/>
                <w:highlight w:val="none"/>
              </w:rPr>
              <w:t>3</w:t>
            </w:r>
          </w:p>
        </w:tc>
        <w:tc>
          <w:tcPr>
            <w:tcW w:w="1755" w:type="pct"/>
            <w:tcBorders>
              <w:top w:val="single" w:color="auto" w:sz="4" w:space="0"/>
              <w:left w:val="single" w:color="auto" w:sz="4" w:space="0"/>
              <w:bottom w:val="single" w:color="auto" w:sz="4" w:space="0"/>
              <w:right w:val="single" w:color="auto" w:sz="4" w:space="0"/>
            </w:tcBorders>
            <w:vAlign w:val="center"/>
          </w:tcPr>
          <w:p w14:paraId="0391A263">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合同条款</w:t>
            </w:r>
          </w:p>
        </w:tc>
        <w:tc>
          <w:tcPr>
            <w:tcW w:w="1882" w:type="pct"/>
            <w:tcBorders>
              <w:top w:val="single" w:color="auto" w:sz="4" w:space="0"/>
              <w:left w:val="single" w:color="auto" w:sz="4" w:space="0"/>
              <w:bottom w:val="single" w:color="auto" w:sz="4" w:space="0"/>
              <w:right w:val="single" w:color="auto" w:sz="4" w:space="0"/>
            </w:tcBorders>
            <w:vAlign w:val="center"/>
          </w:tcPr>
          <w:p w14:paraId="58C4D9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是否接受</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文件中的合同条款</w:t>
            </w:r>
          </w:p>
        </w:tc>
        <w:tc>
          <w:tcPr>
            <w:tcW w:w="746" w:type="pct"/>
            <w:tcBorders>
              <w:top w:val="single" w:color="auto" w:sz="4" w:space="0"/>
              <w:left w:val="single" w:color="auto" w:sz="4" w:space="0"/>
              <w:bottom w:val="single" w:color="auto" w:sz="4" w:space="0"/>
              <w:right w:val="single" w:color="auto" w:sz="4" w:space="0"/>
            </w:tcBorders>
            <w:vAlign w:val="center"/>
          </w:tcPr>
          <w:p w14:paraId="3E21163E">
            <w:pPr>
              <w:spacing w:line="360" w:lineRule="auto"/>
              <w:jc w:val="center"/>
              <w:rPr>
                <w:rFonts w:ascii="Times New Roman" w:hAnsi="Times New Roman" w:cs="Times New Roman"/>
                <w:color w:val="000000"/>
                <w:szCs w:val="21"/>
                <w:highlight w:val="none"/>
              </w:rPr>
            </w:pPr>
          </w:p>
        </w:tc>
      </w:tr>
      <w:tr w14:paraId="38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7A96EC27">
            <w:pPr>
              <w:autoSpaceDE w:val="0"/>
              <w:autoSpaceDN w:val="0"/>
              <w:adjustRightInd w:val="0"/>
              <w:spacing w:line="360" w:lineRule="auto"/>
              <w:ind w:right="-20"/>
              <w:jc w:val="center"/>
              <w:rPr>
                <w:rFonts w:hint="eastAsia" w:ascii="Times New Roman" w:hAnsi="Times New Roman" w:eastAsia="宋体" w:cs="Times New Roman"/>
                <w:color w:val="000000"/>
                <w:szCs w:val="21"/>
                <w:highlight w:val="none"/>
                <w:lang w:eastAsia="zh-CN"/>
              </w:rPr>
            </w:pPr>
            <w:r>
              <w:rPr>
                <w:rFonts w:hint="eastAsia" w:ascii="Times New Roman" w:hAnsi="Times New Roman" w:cs="Times New Roman"/>
                <w:color w:val="000000"/>
                <w:szCs w:val="21"/>
                <w:highlight w:val="none"/>
                <w:lang w:val="en-US" w:eastAsia="zh-CN"/>
              </w:rPr>
              <w:t>4</w:t>
            </w:r>
          </w:p>
        </w:tc>
        <w:tc>
          <w:tcPr>
            <w:tcW w:w="1755" w:type="pct"/>
            <w:tcBorders>
              <w:top w:val="single" w:color="auto" w:sz="4" w:space="0"/>
              <w:left w:val="single" w:color="auto" w:sz="4" w:space="0"/>
              <w:bottom w:val="single" w:color="auto" w:sz="4" w:space="0"/>
              <w:right w:val="single" w:color="auto" w:sz="4" w:space="0"/>
            </w:tcBorders>
            <w:vAlign w:val="center"/>
          </w:tcPr>
          <w:p w14:paraId="1173639A">
            <w:pPr>
              <w:autoSpaceDE w:val="0"/>
              <w:autoSpaceDN w:val="0"/>
              <w:adjustRightInd w:val="0"/>
              <w:spacing w:line="360" w:lineRule="auto"/>
              <w:ind w:right="-20"/>
              <w:jc w:val="center"/>
              <w:rPr>
                <w:rFonts w:ascii="Times New Roman" w:hAnsi="Times New Roman" w:cs="Times New Roman"/>
                <w:color w:val="000000"/>
                <w:kern w:val="0"/>
                <w:szCs w:val="21"/>
                <w:highlight w:val="none"/>
              </w:rPr>
            </w:pPr>
            <w:r>
              <w:rPr>
                <w:rFonts w:ascii="Times New Roman" w:hAnsi="Times New Roman" w:cs="Times New Roman"/>
                <w:color w:val="000000"/>
                <w:szCs w:val="21"/>
                <w:highlight w:val="none"/>
              </w:rPr>
              <w:t>工程质量</w:t>
            </w:r>
          </w:p>
        </w:tc>
        <w:tc>
          <w:tcPr>
            <w:tcW w:w="1882" w:type="pct"/>
            <w:tcBorders>
              <w:top w:val="single" w:color="auto" w:sz="4" w:space="0"/>
              <w:left w:val="single" w:color="auto" w:sz="4" w:space="0"/>
              <w:bottom w:val="single" w:color="auto" w:sz="4" w:space="0"/>
              <w:right w:val="single" w:color="auto" w:sz="4" w:space="0"/>
            </w:tcBorders>
            <w:vAlign w:val="center"/>
          </w:tcPr>
          <w:p w14:paraId="1D6A0F79">
            <w:pPr>
              <w:spacing w:line="360" w:lineRule="auto"/>
              <w:ind w:firstLine="210" w:firstLineChars="100"/>
              <w:jc w:val="left"/>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ascii="Times New Roman" w:hAnsi="Times New Roman" w:cs="Times New Roman"/>
                <w:color w:val="000000"/>
                <w:szCs w:val="21"/>
                <w:highlight w:val="none"/>
              </w:rPr>
              <w:t>质量标准</w:t>
            </w:r>
          </w:p>
        </w:tc>
        <w:tc>
          <w:tcPr>
            <w:tcW w:w="746" w:type="pct"/>
            <w:tcBorders>
              <w:top w:val="single" w:color="auto" w:sz="4" w:space="0"/>
              <w:left w:val="single" w:color="auto" w:sz="4" w:space="0"/>
              <w:bottom w:val="single" w:color="auto" w:sz="4" w:space="0"/>
              <w:right w:val="single" w:color="auto" w:sz="4" w:space="0"/>
            </w:tcBorders>
            <w:vAlign w:val="center"/>
          </w:tcPr>
          <w:p w14:paraId="08A1E188">
            <w:pPr>
              <w:spacing w:line="360" w:lineRule="auto"/>
              <w:jc w:val="center"/>
              <w:rPr>
                <w:rFonts w:ascii="Times New Roman" w:hAnsi="Times New Roman" w:cs="Times New Roman"/>
                <w:color w:val="000000"/>
                <w:szCs w:val="21"/>
                <w:highlight w:val="none"/>
              </w:rPr>
            </w:pPr>
          </w:p>
        </w:tc>
      </w:tr>
      <w:tr w14:paraId="3535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15" w:type="pct"/>
            <w:tcBorders>
              <w:top w:val="single" w:color="auto" w:sz="4" w:space="0"/>
              <w:left w:val="single" w:color="auto" w:sz="4" w:space="0"/>
              <w:bottom w:val="single" w:color="auto" w:sz="4" w:space="0"/>
              <w:right w:val="single" w:color="auto" w:sz="4" w:space="0"/>
            </w:tcBorders>
            <w:vAlign w:val="center"/>
          </w:tcPr>
          <w:p w14:paraId="682E7562">
            <w:pPr>
              <w:spacing w:line="360" w:lineRule="auto"/>
              <w:jc w:val="center"/>
              <w:rPr>
                <w:rFonts w:hint="eastAsia" w:ascii="Times New Roman" w:hAnsi="Times New Roman" w:eastAsia="宋体" w:cs="Times New Roman"/>
                <w:color w:val="000000"/>
                <w:kern w:val="0"/>
                <w:szCs w:val="21"/>
                <w:highlight w:val="none"/>
                <w:lang w:eastAsia="zh-CN"/>
              </w:rPr>
            </w:pPr>
            <w:r>
              <w:rPr>
                <w:rFonts w:hint="eastAsia" w:ascii="Times New Roman" w:hAnsi="Times New Roman" w:cs="Times New Roman"/>
                <w:color w:val="000000"/>
                <w:kern w:val="0"/>
                <w:szCs w:val="21"/>
                <w:highlight w:val="none"/>
                <w:lang w:val="en-US" w:eastAsia="zh-CN"/>
              </w:rPr>
              <w:t>5</w:t>
            </w:r>
          </w:p>
        </w:tc>
        <w:tc>
          <w:tcPr>
            <w:tcW w:w="1755" w:type="pct"/>
            <w:tcBorders>
              <w:top w:val="single" w:color="auto" w:sz="4" w:space="0"/>
              <w:left w:val="single" w:color="auto" w:sz="4" w:space="0"/>
              <w:bottom w:val="single" w:color="auto" w:sz="4" w:space="0"/>
              <w:right w:val="single" w:color="auto" w:sz="4" w:space="0"/>
            </w:tcBorders>
            <w:vAlign w:val="center"/>
          </w:tcPr>
          <w:p w14:paraId="171C4E60">
            <w:pPr>
              <w:spacing w:line="360" w:lineRule="auto"/>
              <w:jc w:val="center"/>
              <w:rPr>
                <w:rFonts w:ascii="Times New Roman" w:hAnsi="Times New Roman" w:cs="Times New Roman"/>
                <w:color w:val="000000"/>
                <w:szCs w:val="21"/>
                <w:highlight w:val="none"/>
              </w:rPr>
            </w:pP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1882" w:type="pct"/>
            <w:tcBorders>
              <w:top w:val="single" w:color="auto" w:sz="4" w:space="0"/>
              <w:left w:val="single" w:color="auto" w:sz="4" w:space="0"/>
              <w:bottom w:val="single" w:color="auto" w:sz="4" w:space="0"/>
              <w:right w:val="single" w:color="auto" w:sz="4" w:space="0"/>
            </w:tcBorders>
            <w:vAlign w:val="center"/>
          </w:tcPr>
          <w:p w14:paraId="4ACD7A88">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kern w:val="0"/>
                <w:szCs w:val="21"/>
                <w:highlight w:val="none"/>
              </w:rPr>
              <w:t>是否响应</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文件中的</w:t>
            </w:r>
            <w:r>
              <w:rPr>
                <w:rFonts w:hint="eastAsia" w:ascii="Times New Roman" w:hAnsi="Times New Roman" w:cs="Times New Roman"/>
                <w:color w:val="000000"/>
                <w:kern w:val="0"/>
                <w:szCs w:val="21"/>
                <w:highlight w:val="none"/>
              </w:rPr>
              <w:t>比选</w:t>
            </w:r>
            <w:r>
              <w:rPr>
                <w:rFonts w:ascii="Times New Roman" w:hAnsi="Times New Roman" w:cs="Times New Roman"/>
                <w:color w:val="000000"/>
                <w:kern w:val="0"/>
                <w:szCs w:val="21"/>
                <w:highlight w:val="none"/>
              </w:rPr>
              <w:t>范围</w:t>
            </w:r>
          </w:p>
        </w:tc>
        <w:tc>
          <w:tcPr>
            <w:tcW w:w="746" w:type="pct"/>
            <w:tcBorders>
              <w:top w:val="single" w:color="auto" w:sz="4" w:space="0"/>
              <w:left w:val="single" w:color="auto" w:sz="4" w:space="0"/>
              <w:bottom w:val="single" w:color="auto" w:sz="4" w:space="0"/>
              <w:right w:val="single" w:color="auto" w:sz="4" w:space="0"/>
            </w:tcBorders>
            <w:vAlign w:val="center"/>
          </w:tcPr>
          <w:p w14:paraId="458C446E">
            <w:pPr>
              <w:spacing w:line="360" w:lineRule="auto"/>
              <w:jc w:val="center"/>
              <w:rPr>
                <w:rFonts w:ascii="Times New Roman" w:hAnsi="Times New Roman" w:cs="Times New Roman"/>
                <w:color w:val="000000"/>
                <w:szCs w:val="21"/>
                <w:highlight w:val="none"/>
              </w:rPr>
            </w:pPr>
          </w:p>
        </w:tc>
      </w:tr>
    </w:tbl>
    <w:p w14:paraId="2D3120CA">
      <w:pPr>
        <w:spacing w:line="360" w:lineRule="auto"/>
        <w:rPr>
          <w:rFonts w:ascii="Times New Roman" w:hAnsi="Times New Roman" w:cs="Times New Roman"/>
          <w:color w:val="000000"/>
          <w:highlight w:val="none"/>
        </w:rPr>
      </w:pPr>
    </w:p>
    <w:p w14:paraId="2959B974">
      <w:pPr>
        <w:spacing w:line="360" w:lineRule="auto"/>
        <w:rPr>
          <w:rFonts w:ascii="Times New Roman" w:hAnsi="Times New Roman" w:cs="Times New Roman"/>
          <w:color w:val="000000"/>
          <w:highlight w:val="none"/>
        </w:rPr>
      </w:pPr>
      <w:r>
        <w:rPr>
          <w:rFonts w:ascii="Times New Roman" w:hAnsi="Times New Roman" w:cs="Times New Roman"/>
          <w:color w:val="000000"/>
          <w:highlight w:val="none"/>
        </w:rPr>
        <w:br w:type="page"/>
      </w:r>
    </w:p>
    <w:p w14:paraId="0AD10EA8">
      <w:pPr>
        <w:pStyle w:val="4"/>
        <w:numPr>
          <w:ilvl w:val="0"/>
          <w:numId w:val="10"/>
        </w:numPr>
        <w:spacing w:before="260" w:after="260"/>
        <w:jc w:val="center"/>
        <w:rPr>
          <w:color w:val="000000"/>
          <w:sz w:val="28"/>
          <w:szCs w:val="28"/>
          <w:highlight w:val="none"/>
        </w:rPr>
      </w:pPr>
      <w:r>
        <w:rPr>
          <w:color w:val="000000"/>
          <w:sz w:val="28"/>
          <w:szCs w:val="28"/>
          <w:highlight w:val="none"/>
        </w:rPr>
        <w:t>法定代表人身份证明</w:t>
      </w:r>
    </w:p>
    <w:p w14:paraId="53C1DF4C">
      <w:pPr>
        <w:spacing w:line="360" w:lineRule="auto"/>
        <w:ind w:firstLine="420" w:firstLineChars="200"/>
        <w:rPr>
          <w:rFonts w:ascii="Times New Roman" w:hAnsi="Times New Roman" w:cs="Times New Roman"/>
          <w:color w:val="000000"/>
          <w:szCs w:val="21"/>
          <w:highlight w:val="none"/>
        </w:rPr>
      </w:pPr>
    </w:p>
    <w:p w14:paraId="3CE87F03">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单位名称：_____________________________________</w:t>
      </w:r>
    </w:p>
    <w:p w14:paraId="7105F96D">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单位性质：_____________________________________</w:t>
      </w:r>
    </w:p>
    <w:p w14:paraId="1F17F54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地址：_________________________________________</w:t>
      </w:r>
    </w:p>
    <w:p w14:paraId="04C7FBE8">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成立时间：______年_____月_____日</w:t>
      </w:r>
    </w:p>
    <w:p w14:paraId="538FAF9C">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经营期限：_______________________________</w:t>
      </w:r>
    </w:p>
    <w:p w14:paraId="1DE4B105">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姓名：___________系_________________（单位名称）的法定代表人。（职务：________电话______________）</w:t>
      </w:r>
    </w:p>
    <w:p w14:paraId="6607AF99">
      <w:pPr>
        <w:spacing w:line="360" w:lineRule="auto"/>
        <w:ind w:firstLine="840" w:firstLineChars="400"/>
        <w:rPr>
          <w:rFonts w:ascii="Times New Roman" w:hAnsi="Times New Roman" w:cs="Times New Roman"/>
          <w:color w:val="000000"/>
          <w:szCs w:val="21"/>
          <w:highlight w:val="none"/>
        </w:rPr>
      </w:pPr>
    </w:p>
    <w:p w14:paraId="11151D7E">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特此证明。</w:t>
      </w:r>
    </w:p>
    <w:p w14:paraId="49CBD604">
      <w:pPr>
        <w:spacing w:line="360" w:lineRule="auto"/>
        <w:ind w:firstLine="840" w:firstLineChars="4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附：法定代表人身份证复印件或扫描件。</w:t>
      </w:r>
    </w:p>
    <w:p w14:paraId="59C65E86">
      <w:pPr>
        <w:spacing w:line="360" w:lineRule="auto"/>
        <w:ind w:firstLine="420" w:firstLineChars="200"/>
        <w:rPr>
          <w:rFonts w:ascii="Times New Roman" w:hAnsi="Times New Roman" w:cs="Times New Roman"/>
          <w:color w:val="000000"/>
          <w:szCs w:val="21"/>
          <w:highlight w:val="none"/>
        </w:rPr>
      </w:pPr>
    </w:p>
    <w:p w14:paraId="06A018DA">
      <w:pPr>
        <w:spacing w:line="360" w:lineRule="auto"/>
        <w:ind w:firstLine="420" w:firstLineChars="200"/>
        <w:rPr>
          <w:rFonts w:ascii="Times New Roman" w:hAnsi="Times New Roman" w:cs="Times New Roman"/>
          <w:color w:val="000000"/>
          <w:szCs w:val="21"/>
          <w:highlight w:val="none"/>
        </w:rPr>
      </w:pPr>
    </w:p>
    <w:p w14:paraId="2DE02305">
      <w:pPr>
        <w:spacing w:line="360" w:lineRule="auto"/>
        <w:ind w:firstLine="420" w:firstLineChars="200"/>
        <w:rPr>
          <w:rFonts w:ascii="Times New Roman" w:hAnsi="Times New Roman" w:cs="Times New Roman"/>
          <w:color w:val="000000"/>
          <w:szCs w:val="21"/>
          <w:highlight w:val="none"/>
        </w:rPr>
      </w:pPr>
    </w:p>
    <w:p w14:paraId="3C8EA8E5">
      <w:pPr>
        <w:spacing w:line="360" w:lineRule="auto"/>
        <w:jc w:val="right"/>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名称：________________(盖单位章)</w:t>
      </w:r>
    </w:p>
    <w:p w14:paraId="578DAD59">
      <w:pPr>
        <w:spacing w:line="360" w:lineRule="auto"/>
        <w:ind w:firstLine="4935" w:firstLineChars="235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______年_______月______日</w:t>
      </w:r>
    </w:p>
    <w:p w14:paraId="705A9280">
      <w:pPr>
        <w:spacing w:line="360" w:lineRule="auto"/>
        <w:ind w:firstLine="420" w:firstLineChars="200"/>
        <w:rPr>
          <w:rFonts w:ascii="Times New Roman" w:hAnsi="Times New Roman" w:cs="Times New Roman"/>
          <w:color w:val="000000"/>
          <w:szCs w:val="21"/>
          <w:highlight w:val="none"/>
        </w:rPr>
      </w:pPr>
    </w:p>
    <w:p w14:paraId="1D0004DC">
      <w:pPr>
        <w:spacing w:line="360" w:lineRule="auto"/>
        <w:ind w:firstLine="420" w:firstLineChars="200"/>
        <w:rPr>
          <w:rFonts w:ascii="Times New Roman" w:hAnsi="Times New Roman" w:cs="Times New Roman"/>
          <w:color w:val="000000"/>
          <w:szCs w:val="21"/>
          <w:highlight w:val="none"/>
        </w:rPr>
      </w:pPr>
    </w:p>
    <w:p w14:paraId="505DF063">
      <w:pPr>
        <w:spacing w:line="360" w:lineRule="auto"/>
        <w:ind w:firstLine="420" w:firstLineChars="200"/>
        <w:rPr>
          <w:rFonts w:ascii="Times New Roman" w:hAnsi="Times New Roman" w:cs="Times New Roman"/>
          <w:color w:val="000000"/>
          <w:szCs w:val="21"/>
          <w:highlight w:val="none"/>
        </w:rPr>
      </w:pPr>
    </w:p>
    <w:p w14:paraId="78CA1392">
      <w:pPr>
        <w:spacing w:line="360" w:lineRule="auto"/>
        <w:ind w:firstLine="420" w:firstLineChars="200"/>
        <w:rPr>
          <w:rFonts w:ascii="Times New Roman" w:hAnsi="Times New Roman" w:cs="Times New Roman"/>
          <w:color w:val="000000"/>
          <w:szCs w:val="21"/>
          <w:highlight w:val="none"/>
        </w:rPr>
      </w:pPr>
    </w:p>
    <w:p w14:paraId="77A5F482">
      <w:pPr>
        <w:spacing w:line="360" w:lineRule="auto"/>
        <w:ind w:firstLine="420" w:firstLineChars="200"/>
        <w:rPr>
          <w:rFonts w:ascii="Times New Roman" w:hAnsi="Times New Roman" w:cs="Times New Roman"/>
          <w:color w:val="000000"/>
          <w:szCs w:val="21"/>
          <w:highlight w:val="none"/>
        </w:rPr>
      </w:pPr>
    </w:p>
    <w:p w14:paraId="4F14B98C">
      <w:pPr>
        <w:spacing w:line="360" w:lineRule="auto"/>
        <w:ind w:firstLine="420" w:firstLineChars="200"/>
        <w:rPr>
          <w:rFonts w:ascii="Times New Roman" w:hAnsi="Times New Roman" w:cs="Times New Roman"/>
          <w:color w:val="000000"/>
          <w:szCs w:val="21"/>
          <w:highlight w:val="none"/>
        </w:rPr>
      </w:pPr>
    </w:p>
    <w:p w14:paraId="02C62966">
      <w:pPr>
        <w:spacing w:line="360" w:lineRule="auto"/>
        <w:ind w:firstLine="420" w:firstLineChars="200"/>
        <w:rPr>
          <w:rFonts w:ascii="Times New Roman" w:hAnsi="Times New Roman" w:cs="Times New Roman"/>
          <w:color w:val="000000"/>
          <w:szCs w:val="21"/>
          <w:highlight w:val="none"/>
        </w:rPr>
      </w:pPr>
    </w:p>
    <w:p w14:paraId="25AF37C7">
      <w:pPr>
        <w:spacing w:line="360" w:lineRule="auto"/>
        <w:jc w:val="center"/>
        <w:rPr>
          <w:rFonts w:ascii="Times New Roman" w:hAnsi="Times New Roman" w:cs="Times New Roman"/>
          <w:b/>
          <w:color w:val="000000"/>
          <w:sz w:val="24"/>
          <w:highlight w:val="none"/>
        </w:rPr>
      </w:pPr>
    </w:p>
    <w:p w14:paraId="60D55E3D">
      <w:pPr>
        <w:widowControl/>
        <w:spacing w:line="360" w:lineRule="auto"/>
        <w:jc w:val="left"/>
        <w:rPr>
          <w:rFonts w:ascii="Times New Roman" w:hAnsi="Times New Roman" w:cs="Times New Roman"/>
          <w:b/>
          <w:color w:val="000000"/>
          <w:sz w:val="24"/>
          <w:highlight w:val="none"/>
        </w:rPr>
      </w:pPr>
      <w:r>
        <w:rPr>
          <w:rFonts w:ascii="Times New Roman" w:hAnsi="Times New Roman" w:cs="Times New Roman"/>
          <w:b/>
          <w:color w:val="000000"/>
          <w:sz w:val="24"/>
          <w:highlight w:val="none"/>
        </w:rPr>
        <w:br w:type="page"/>
      </w:r>
    </w:p>
    <w:p w14:paraId="19E6A2F6">
      <w:pPr>
        <w:pStyle w:val="4"/>
        <w:jc w:val="center"/>
        <w:rPr>
          <w:rFonts w:hint="eastAsia" w:eastAsia="宋体"/>
          <w:b w:val="0"/>
          <w:color w:val="000000"/>
          <w:sz w:val="28"/>
          <w:szCs w:val="28"/>
          <w:highlight w:val="none"/>
          <w:lang w:eastAsia="zh-CN"/>
        </w:rPr>
      </w:pPr>
      <w:r>
        <w:rPr>
          <w:color w:val="000000"/>
          <w:sz w:val="28"/>
          <w:szCs w:val="28"/>
          <w:highlight w:val="none"/>
        </w:rPr>
        <w:t>三、授权委托书</w:t>
      </w:r>
    </w:p>
    <w:p w14:paraId="32878134">
      <w:pPr>
        <w:spacing w:line="360" w:lineRule="auto"/>
        <w:ind w:left="359" w:leftChars="171" w:firstLine="420" w:firstLineChars="200"/>
        <w:rPr>
          <w:rFonts w:ascii="Times New Roman" w:hAnsi="Times New Roman" w:cs="Times New Roman"/>
          <w:color w:val="000000"/>
          <w:szCs w:val="21"/>
          <w:highlight w:val="none"/>
        </w:rPr>
      </w:pPr>
    </w:p>
    <w:p w14:paraId="5578AA04">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本人</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系</w:t>
      </w:r>
      <w:r>
        <w:rPr>
          <w:rFonts w:hint="eastAsia" w:ascii="Times New Roman" w:hAnsi="Times New Roman" w:cs="Times New Roman"/>
          <w:color w:val="000000"/>
          <w:szCs w:val="21"/>
          <w:highlight w:val="none"/>
          <w:lang w:val="en-US" w:eastAsia="zh-CN"/>
        </w:rPr>
        <w:t xml:space="preserve"> </w:t>
      </w:r>
      <w:r>
        <w:rPr>
          <w:rFonts w:hint="eastAsia" w:ascii="Times New Roman" w:hAnsi="Times New Roman" w:cs="Times New Roman"/>
          <w:color w:val="auto"/>
          <w:szCs w:val="21"/>
          <w:highlight w:val="none"/>
          <w:lang w:val="en-US" w:eastAsia="zh-CN"/>
        </w:rPr>
        <w:t xml:space="preserve"> </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rPr>
        <w:t>比选申请人</w:t>
      </w:r>
      <w:r>
        <w:rPr>
          <w:rFonts w:ascii="Times New Roman" w:hAnsi="Times New Roman" w:cs="Times New Roman"/>
          <w:color w:val="auto"/>
          <w:szCs w:val="21"/>
          <w:highlight w:val="none"/>
          <w:u w:val="single"/>
        </w:rPr>
        <w:t>名称）</w:t>
      </w:r>
      <w:r>
        <w:rPr>
          <w:rFonts w:hint="eastAsia" w:ascii="Times New Roman" w:hAnsi="Times New Roman" w:cs="Times New Roman"/>
          <w:color w:val="auto"/>
          <w:szCs w:val="21"/>
          <w:highlight w:val="none"/>
          <w:u w:val="single"/>
          <w:lang w:val="en-US" w:eastAsia="zh-CN"/>
        </w:rPr>
        <w:t xml:space="preserve">  </w:t>
      </w:r>
      <w:r>
        <w:rPr>
          <w:rFonts w:ascii="Times New Roman" w:hAnsi="Times New Roman" w:cs="Times New Roman"/>
          <w:color w:val="auto"/>
          <w:szCs w:val="21"/>
          <w:highlight w:val="none"/>
        </w:rPr>
        <w:t>的</w:t>
      </w:r>
      <w:r>
        <w:rPr>
          <w:rFonts w:ascii="Times New Roman" w:hAnsi="Times New Roman" w:cs="Times New Roman"/>
          <w:color w:val="000000"/>
          <w:szCs w:val="21"/>
          <w:highlight w:val="none"/>
        </w:rPr>
        <w:t>法定代表人，现委托本单位人员</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为我方代理人，委托代理人身份证号</w:t>
      </w:r>
      <w:r>
        <w:rPr>
          <w:rFonts w:ascii="Times New Roman" w:hAnsi="Times New Roman" w:cs="Times New Roman"/>
          <w:color w:val="000000"/>
          <w:szCs w:val="21"/>
          <w:highlight w:val="none"/>
          <w:u w:val="single"/>
        </w:rPr>
        <w:t xml:space="preserve">                         </w:t>
      </w:r>
      <w:r>
        <w:rPr>
          <w:rFonts w:ascii="Times New Roman" w:hAnsi="Times New Roman" w:cs="Times New Roman"/>
          <w:color w:val="000000"/>
          <w:szCs w:val="21"/>
          <w:highlight w:val="none"/>
        </w:rPr>
        <w:t>。代理人根据授权，在本项目</w:t>
      </w:r>
      <w:r>
        <w:rPr>
          <w:rFonts w:hint="eastAsia" w:ascii="Times New Roman" w:hAnsi="Times New Roman" w:cs="Times New Roman"/>
          <w:color w:val="000000"/>
          <w:szCs w:val="21"/>
          <w:highlight w:val="none"/>
        </w:rPr>
        <w:t>比选</w:t>
      </w: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、评审、合同签署等活动过程中所签署的一切文件和处理与之有关的一切事务（向有关行政监督部门投诉另行授权），其法律后果由我方承担。</w:t>
      </w:r>
    </w:p>
    <w:p w14:paraId="71A874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委托期限：</w:t>
      </w:r>
      <w:r>
        <w:rPr>
          <w:rFonts w:ascii="Times New Roman" w:hAnsi="Times New Roman" w:cs="Times New Roman"/>
          <w:color w:val="000000"/>
          <w:highlight w:val="none"/>
        </w:rPr>
        <w:t>自本授权委托书签署之日起至</w:t>
      </w:r>
      <w:r>
        <w:rPr>
          <w:rFonts w:hint="eastAsia" w:ascii="Times New Roman" w:hAnsi="Times New Roman" w:cs="Times New Roman"/>
          <w:color w:val="000000"/>
          <w:highlight w:val="none"/>
        </w:rPr>
        <w:t>比选</w:t>
      </w:r>
      <w:r>
        <w:rPr>
          <w:rFonts w:ascii="Times New Roman" w:hAnsi="Times New Roman" w:cs="Times New Roman"/>
          <w:color w:val="000000"/>
          <w:highlight w:val="none"/>
        </w:rPr>
        <w:t>文件第二章“</w:t>
      </w:r>
      <w:r>
        <w:rPr>
          <w:rFonts w:hint="eastAsia" w:ascii="Times New Roman" w:hAnsi="Times New Roman" w:cs="Times New Roman"/>
          <w:color w:val="000000"/>
          <w:highlight w:val="none"/>
        </w:rPr>
        <w:t>比选申请人</w:t>
      </w:r>
      <w:r>
        <w:rPr>
          <w:rFonts w:ascii="Times New Roman" w:hAnsi="Times New Roman" w:cs="Times New Roman"/>
          <w:color w:val="000000"/>
          <w:highlight w:val="none"/>
        </w:rPr>
        <w:t>须知”前附表第24项规定的“</w:t>
      </w:r>
      <w:r>
        <w:rPr>
          <w:rFonts w:hint="eastAsia" w:ascii="Times New Roman" w:hAnsi="Times New Roman" w:cs="Times New Roman"/>
          <w:color w:val="000000"/>
          <w:highlight w:val="none"/>
        </w:rPr>
        <w:t>比选申请</w:t>
      </w:r>
      <w:r>
        <w:rPr>
          <w:rFonts w:ascii="Times New Roman" w:hAnsi="Times New Roman" w:cs="Times New Roman"/>
          <w:color w:val="000000"/>
          <w:highlight w:val="none"/>
        </w:rPr>
        <w:t xml:space="preserve">有效期”结束为止。  </w:t>
      </w:r>
    </w:p>
    <w:p w14:paraId="019FF28B">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委托代理人无转委托权。</w:t>
      </w:r>
    </w:p>
    <w:p w14:paraId="38B8EFEB">
      <w:pPr>
        <w:spacing w:line="360" w:lineRule="auto"/>
        <w:ind w:left="359" w:leftChars="171" w:firstLine="420" w:firstLineChars="200"/>
        <w:rPr>
          <w:rFonts w:ascii="Times New Roman" w:hAnsi="Times New Roman" w:cs="Times New Roman"/>
          <w:color w:val="000000"/>
          <w:szCs w:val="21"/>
          <w:highlight w:val="none"/>
        </w:rPr>
      </w:pPr>
    </w:p>
    <w:p w14:paraId="7F143CC7">
      <w:pPr>
        <w:spacing w:line="360" w:lineRule="auto"/>
        <w:ind w:firstLine="420" w:firstLineChars="200"/>
        <w:rPr>
          <w:rFonts w:ascii="Times New Roman" w:hAnsi="Times New Roman" w:cs="Times New Roman"/>
          <w:color w:val="000000"/>
          <w:szCs w:val="21"/>
          <w:highlight w:val="none"/>
        </w:rPr>
      </w:pPr>
      <w:r>
        <w:rPr>
          <w:rFonts w:ascii="Times New Roman" w:hAnsi="Times New Roman" w:cs="Times New Roman"/>
          <w:color w:val="000000"/>
          <w:szCs w:val="21"/>
          <w:highlight w:val="none"/>
        </w:rPr>
        <w:t>附：</w:t>
      </w:r>
      <w:r>
        <w:rPr>
          <w:rFonts w:ascii="Times New Roman" w:hAnsi="Times New Roman" w:cs="Times New Roman"/>
          <w:szCs w:val="21"/>
          <w:highlight w:val="none"/>
        </w:rPr>
        <w:t>法定代表人身份证（正反面）复印件或扫描件、</w:t>
      </w:r>
      <w:r>
        <w:rPr>
          <w:rFonts w:ascii="Times New Roman" w:hAnsi="Times New Roman" w:cs="Times New Roman"/>
          <w:color w:val="000000"/>
          <w:szCs w:val="21"/>
          <w:highlight w:val="none"/>
        </w:rPr>
        <w:t>委托代理人身份证（正反面）复印件或扫描件。</w:t>
      </w:r>
    </w:p>
    <w:p w14:paraId="633A9785">
      <w:pPr>
        <w:spacing w:line="360" w:lineRule="auto"/>
        <w:ind w:left="359" w:leftChars="171" w:firstLine="420" w:firstLineChars="200"/>
        <w:rPr>
          <w:rFonts w:ascii="Times New Roman" w:hAnsi="Times New Roman" w:cs="Times New Roman"/>
          <w:color w:val="000000"/>
          <w:szCs w:val="21"/>
          <w:highlight w:val="none"/>
        </w:rPr>
      </w:pPr>
    </w:p>
    <w:p w14:paraId="66B3E68C">
      <w:pPr>
        <w:spacing w:line="360" w:lineRule="auto"/>
        <w:ind w:left="359" w:leftChars="171" w:firstLine="420" w:firstLineChars="200"/>
        <w:rPr>
          <w:rFonts w:ascii="Times New Roman" w:hAnsi="Times New Roman" w:cs="Times New Roman"/>
          <w:color w:val="000000"/>
          <w:szCs w:val="21"/>
          <w:highlight w:val="none"/>
        </w:rPr>
      </w:pPr>
    </w:p>
    <w:p w14:paraId="1BD492B3">
      <w:pPr>
        <w:spacing w:line="360" w:lineRule="auto"/>
        <w:ind w:left="359" w:leftChars="171" w:firstLine="420" w:firstLineChars="200"/>
        <w:rPr>
          <w:rFonts w:ascii="Times New Roman" w:hAnsi="Times New Roman" w:cs="Times New Roman"/>
          <w:color w:val="000000"/>
          <w:szCs w:val="21"/>
          <w:highlight w:val="none"/>
        </w:rPr>
      </w:pPr>
    </w:p>
    <w:p w14:paraId="52057407">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比选申请人名称</w:t>
      </w:r>
      <w:r>
        <w:rPr>
          <w:rFonts w:ascii="Times New Roman" w:hAnsi="Times New Roman" w:cs="Times New Roman"/>
          <w:color w:val="000000"/>
          <w:szCs w:val="21"/>
          <w:highlight w:val="none"/>
        </w:rPr>
        <w:t>：</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（盖单位章）</w:t>
      </w:r>
    </w:p>
    <w:p w14:paraId="08B49D57">
      <w:pPr>
        <w:spacing w:line="360" w:lineRule="auto"/>
        <w:ind w:firstLine="3150" w:firstLineChars="1500"/>
        <w:jc w:val="right"/>
        <w:rPr>
          <w:rFonts w:ascii="Times New Roman" w:hAnsi="Times New Roman" w:cs="Times New Roman"/>
          <w:color w:val="000000"/>
          <w:szCs w:val="21"/>
          <w:highlight w:val="none"/>
        </w:rPr>
      </w:pPr>
      <w:r>
        <w:rPr>
          <w:rFonts w:ascii="Times New Roman" w:hAnsi="Times New Roman" w:cs="Times New Roman"/>
          <w:color w:val="000000"/>
          <w:szCs w:val="21"/>
          <w:highlight w:val="none"/>
        </w:rPr>
        <w:t>法定代表人：</w:t>
      </w:r>
      <w:r>
        <w:rPr>
          <w:rFonts w:ascii="Times New Roman" w:hAnsi="Times New Roman" w:cs="Times New Roman"/>
          <w:color w:val="000000"/>
          <w:sz w:val="28"/>
          <w:highlight w:val="none"/>
        </w:rPr>
        <w:t>________</w:t>
      </w:r>
      <w:r>
        <w:rPr>
          <w:rFonts w:ascii="Times New Roman" w:hAnsi="Times New Roman" w:cs="Times New Roman"/>
          <w:color w:val="000000"/>
          <w:szCs w:val="21"/>
          <w:highlight w:val="none"/>
        </w:rPr>
        <w:t>（签字</w:t>
      </w:r>
      <w:r>
        <w:rPr>
          <w:rFonts w:hint="eastAsia" w:ascii="Times New Roman" w:hAnsi="Times New Roman" w:cs="Times New Roman"/>
          <w:color w:val="000000"/>
          <w:szCs w:val="21"/>
          <w:highlight w:val="none"/>
          <w:lang w:val="en-US" w:eastAsia="zh-CN"/>
        </w:rPr>
        <w:t>或盖章</w:t>
      </w:r>
      <w:r>
        <w:rPr>
          <w:rFonts w:ascii="Times New Roman" w:hAnsi="Times New Roman" w:cs="Times New Roman"/>
          <w:color w:val="000000"/>
          <w:szCs w:val="21"/>
          <w:highlight w:val="none"/>
        </w:rPr>
        <w:t>）</w:t>
      </w:r>
    </w:p>
    <w:p w14:paraId="3C6FF208">
      <w:pPr>
        <w:spacing w:line="360" w:lineRule="auto"/>
        <w:ind w:firstLine="3150" w:firstLineChars="1500"/>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 xml:space="preserve">          </w:t>
      </w:r>
      <w:r>
        <w:rPr>
          <w:rFonts w:hint="eastAsia" w:ascii="Times New Roman" w:hAnsi="Times New Roman" w:cs="Times New Roman"/>
          <w:color w:val="000000"/>
          <w:szCs w:val="21"/>
          <w:highlight w:val="none"/>
        </w:rPr>
        <w:t xml:space="preserve">         </w:t>
      </w:r>
      <w:r>
        <w:rPr>
          <w:rFonts w:ascii="Times New Roman" w:hAnsi="Times New Roman" w:cs="Times New Roman"/>
          <w:color w:val="000000"/>
          <w:szCs w:val="21"/>
          <w:highlight w:val="none"/>
        </w:rPr>
        <w:t xml:space="preserve"> 委托代理人：</w:t>
      </w:r>
      <w:r>
        <w:rPr>
          <w:rFonts w:ascii="Times New Roman" w:hAnsi="Times New Roman" w:cs="Times New Roman"/>
          <w:color w:val="000000"/>
          <w:sz w:val="28"/>
          <w:highlight w:val="none"/>
        </w:rPr>
        <w:t>_________</w:t>
      </w:r>
      <w:r>
        <w:rPr>
          <w:rFonts w:ascii="Times New Roman" w:hAnsi="Times New Roman" w:cs="Times New Roman"/>
          <w:color w:val="000000"/>
          <w:szCs w:val="21"/>
          <w:highlight w:val="none"/>
        </w:rPr>
        <w:t>（签字）</w:t>
      </w:r>
    </w:p>
    <w:p w14:paraId="70A4648B">
      <w:pPr>
        <w:spacing w:line="360" w:lineRule="auto"/>
        <w:ind w:left="359" w:leftChars="171" w:firstLine="5355" w:firstLineChars="2550"/>
        <w:rPr>
          <w:rFonts w:ascii="Times New Roman" w:hAnsi="Times New Roman" w:cs="Times New Roman"/>
          <w:color w:val="000000"/>
          <w:szCs w:val="21"/>
          <w:highlight w:val="none"/>
        </w:rPr>
      </w:pPr>
    </w:p>
    <w:p w14:paraId="32425D74">
      <w:pPr>
        <w:spacing w:line="360" w:lineRule="auto"/>
        <w:jc w:val="right"/>
        <w:rPr>
          <w:rFonts w:ascii="Times New Roman" w:hAnsi="Times New Roman" w:cs="Times New Roman"/>
          <w:color w:val="000000"/>
          <w:szCs w:val="21"/>
          <w:highlight w:val="none"/>
        </w:rPr>
      </w:pPr>
      <w:r>
        <w:rPr>
          <w:rFonts w:ascii="Times New Roman" w:hAnsi="Times New Roman" w:cs="Times New Roman"/>
          <w:color w:val="000000"/>
          <w:sz w:val="28"/>
          <w:highlight w:val="none"/>
        </w:rPr>
        <w:t>_____</w:t>
      </w:r>
      <w:r>
        <w:rPr>
          <w:rFonts w:ascii="Times New Roman" w:hAnsi="Times New Roman" w:cs="Times New Roman"/>
          <w:color w:val="000000"/>
          <w:szCs w:val="21"/>
          <w:highlight w:val="none"/>
        </w:rPr>
        <w:t>年</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月</w:t>
      </w:r>
      <w:r>
        <w:rPr>
          <w:rFonts w:ascii="Times New Roman" w:hAnsi="Times New Roman" w:cs="Times New Roman"/>
          <w:color w:val="000000"/>
          <w:sz w:val="28"/>
          <w:highlight w:val="none"/>
        </w:rPr>
        <w:t>____</w:t>
      </w:r>
      <w:r>
        <w:rPr>
          <w:rFonts w:ascii="Times New Roman" w:hAnsi="Times New Roman" w:cs="Times New Roman"/>
          <w:color w:val="000000"/>
          <w:szCs w:val="21"/>
          <w:highlight w:val="none"/>
        </w:rPr>
        <w:t>日</w:t>
      </w:r>
    </w:p>
    <w:p w14:paraId="73F238D0">
      <w:pPr>
        <w:spacing w:line="360" w:lineRule="auto"/>
        <w:ind w:left="359" w:leftChars="171" w:firstLine="5040" w:firstLineChars="2400"/>
        <w:rPr>
          <w:rFonts w:ascii="Times New Roman" w:hAnsi="Times New Roman" w:cs="Times New Roman"/>
          <w:color w:val="000000"/>
          <w:szCs w:val="21"/>
          <w:highlight w:val="none"/>
        </w:rPr>
      </w:pPr>
    </w:p>
    <w:p w14:paraId="27DF0CEA">
      <w:pPr>
        <w:spacing w:line="360" w:lineRule="auto"/>
        <w:ind w:left="359" w:leftChars="171" w:firstLine="5040" w:firstLineChars="2400"/>
        <w:rPr>
          <w:rFonts w:ascii="Times New Roman" w:hAnsi="Times New Roman" w:cs="Times New Roman"/>
          <w:color w:val="000000"/>
          <w:szCs w:val="21"/>
          <w:highlight w:val="none"/>
        </w:rPr>
      </w:pPr>
    </w:p>
    <w:p w14:paraId="7F67D14C">
      <w:pPr>
        <w:spacing w:line="360" w:lineRule="auto"/>
        <w:ind w:left="359" w:leftChars="171" w:firstLine="5040" w:firstLineChars="2400"/>
        <w:rPr>
          <w:rFonts w:ascii="Times New Roman" w:hAnsi="Times New Roman" w:cs="Times New Roman"/>
          <w:color w:val="000000"/>
          <w:szCs w:val="21"/>
          <w:highlight w:val="none"/>
        </w:rPr>
      </w:pPr>
    </w:p>
    <w:p w14:paraId="2625795B">
      <w:pPr>
        <w:spacing w:line="360" w:lineRule="auto"/>
        <w:ind w:left="359" w:leftChars="171" w:firstLine="5040" w:firstLineChars="2400"/>
        <w:rPr>
          <w:rFonts w:ascii="Times New Roman" w:hAnsi="Times New Roman" w:cs="Times New Roman"/>
          <w:color w:val="000000"/>
          <w:szCs w:val="21"/>
          <w:highlight w:val="none"/>
        </w:rPr>
      </w:pPr>
    </w:p>
    <w:p w14:paraId="6F169B8B">
      <w:pPr>
        <w:spacing w:line="360" w:lineRule="auto"/>
        <w:rPr>
          <w:rFonts w:ascii="Times New Roman" w:hAnsi="Times New Roman" w:cs="Times New Roman"/>
          <w:color w:val="000000"/>
          <w:szCs w:val="21"/>
          <w:highlight w:val="none"/>
        </w:rPr>
      </w:pPr>
    </w:p>
    <w:p w14:paraId="045548B8">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w:t>
      </w:r>
      <w:r>
        <w:rPr>
          <w:rFonts w:hint="eastAsia" w:ascii="Times New Roman" w:hAnsi="Times New Roman" w:cs="Times New Roman"/>
          <w:color w:val="000000"/>
          <w:szCs w:val="21"/>
          <w:highlight w:val="none"/>
        </w:rPr>
        <w:t>（1）</w:t>
      </w:r>
      <w:r>
        <w:rPr>
          <w:rFonts w:ascii="Times New Roman" w:hAnsi="Times New Roman" w:cs="Times New Roman"/>
          <w:color w:val="000000"/>
          <w:szCs w:val="21"/>
          <w:highlight w:val="none"/>
        </w:rPr>
        <w:t>法定代表人不亲自</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委托代理人</w:t>
      </w:r>
      <w:r>
        <w:rPr>
          <w:rFonts w:hint="eastAsia" w:ascii="Times New Roman" w:hAnsi="Times New Roman" w:cs="Times New Roman"/>
          <w:color w:val="000000"/>
          <w:szCs w:val="21"/>
          <w:highlight w:val="none"/>
        </w:rPr>
        <w:t>比选申请</w:t>
      </w:r>
      <w:r>
        <w:rPr>
          <w:rFonts w:ascii="Times New Roman" w:hAnsi="Times New Roman" w:cs="Times New Roman"/>
          <w:color w:val="000000"/>
          <w:szCs w:val="21"/>
          <w:highlight w:val="none"/>
        </w:rPr>
        <w:t>的独立</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适用。</w:t>
      </w:r>
    </w:p>
    <w:p w14:paraId="6B85721B">
      <w:pPr>
        <w:pStyle w:val="8"/>
        <w:ind w:firstLine="210" w:firstLineChars="100"/>
        <w:rPr>
          <w:highlight w:val="none"/>
        </w:rPr>
      </w:pPr>
      <w:r>
        <w:rPr>
          <w:rFonts w:hint="eastAsia"/>
          <w:color w:val="000000"/>
          <w:szCs w:val="21"/>
          <w:highlight w:val="none"/>
        </w:rPr>
        <w:t xml:space="preserve">  （2）</w:t>
      </w:r>
      <w:r>
        <w:rPr>
          <w:color w:val="000000"/>
          <w:szCs w:val="21"/>
          <w:highlight w:val="none"/>
        </w:rPr>
        <w:t>法定代表人亲自</w:t>
      </w:r>
      <w:r>
        <w:rPr>
          <w:rFonts w:hint="eastAsia"/>
          <w:color w:val="000000"/>
          <w:szCs w:val="21"/>
          <w:highlight w:val="none"/>
        </w:rPr>
        <w:t>比选申请的，</w:t>
      </w:r>
      <w:r>
        <w:rPr>
          <w:color w:val="000000"/>
          <w:szCs w:val="21"/>
          <w:highlight w:val="none"/>
        </w:rPr>
        <w:t>不需</w:t>
      </w:r>
      <w:r>
        <w:rPr>
          <w:rFonts w:hint="eastAsia"/>
          <w:color w:val="000000"/>
          <w:szCs w:val="21"/>
          <w:highlight w:val="none"/>
        </w:rPr>
        <w:t>提供授权委托书</w:t>
      </w:r>
      <w:r>
        <w:rPr>
          <w:color w:val="000000"/>
          <w:szCs w:val="21"/>
          <w:highlight w:val="none"/>
        </w:rPr>
        <w:t>，</w:t>
      </w:r>
      <w:r>
        <w:rPr>
          <w:rFonts w:hint="eastAsia"/>
          <w:color w:val="000000"/>
          <w:szCs w:val="21"/>
          <w:highlight w:val="none"/>
          <w:lang w:val="en-US" w:eastAsia="zh-CN"/>
        </w:rPr>
        <w:t>可不填写</w:t>
      </w:r>
      <w:r>
        <w:rPr>
          <w:color w:val="000000"/>
          <w:szCs w:val="21"/>
          <w:highlight w:val="none"/>
        </w:rPr>
        <w:t>。</w:t>
      </w:r>
    </w:p>
    <w:p w14:paraId="3CC04516">
      <w:pPr>
        <w:pStyle w:val="8"/>
        <w:rPr>
          <w:highlight w:val="none"/>
        </w:rPr>
      </w:pPr>
    </w:p>
    <w:p w14:paraId="46FF2348">
      <w:pPr>
        <w:widowControl/>
        <w:spacing w:line="360" w:lineRule="auto"/>
        <w:jc w:val="left"/>
        <w:rPr>
          <w:rFonts w:ascii="Times New Roman" w:hAnsi="Times New Roman" w:cs="Times New Roman"/>
          <w:color w:val="000000"/>
          <w:highlight w:val="none"/>
        </w:rPr>
      </w:pPr>
      <w:r>
        <w:rPr>
          <w:rFonts w:ascii="Times New Roman" w:hAnsi="Times New Roman" w:cs="Times New Roman"/>
          <w:color w:val="000000"/>
          <w:highlight w:val="none"/>
        </w:rPr>
        <w:br w:type="page"/>
      </w:r>
    </w:p>
    <w:p w14:paraId="55311DC8">
      <w:pPr>
        <w:pStyle w:val="4"/>
        <w:jc w:val="center"/>
        <w:rPr>
          <w:bCs w:val="0"/>
          <w:color w:val="000000"/>
          <w:sz w:val="28"/>
          <w:szCs w:val="28"/>
          <w:highlight w:val="none"/>
        </w:rPr>
      </w:pPr>
      <w:r>
        <w:rPr>
          <w:rFonts w:hint="eastAsia"/>
          <w:bCs w:val="0"/>
          <w:color w:val="000000"/>
          <w:sz w:val="28"/>
          <w:szCs w:val="28"/>
          <w:highlight w:val="none"/>
          <w:lang w:val="en-US" w:eastAsia="zh-CN"/>
        </w:rPr>
        <w:t>四</w:t>
      </w:r>
      <w:r>
        <w:rPr>
          <w:bCs w:val="0"/>
          <w:color w:val="000000"/>
          <w:sz w:val="28"/>
          <w:szCs w:val="28"/>
          <w:highlight w:val="none"/>
        </w:rPr>
        <w:t>、项目管理机构</w:t>
      </w:r>
    </w:p>
    <w:p w14:paraId="0BB61870">
      <w:pPr>
        <w:pStyle w:val="5"/>
        <w:spacing w:before="280" w:after="290"/>
        <w:ind w:left="359" w:leftChars="171"/>
        <w:jc w:val="center"/>
        <w:rPr>
          <w:rFonts w:ascii="Times New Roman" w:hAnsi="Times New Roman"/>
          <w:color w:val="000000"/>
          <w:szCs w:val="21"/>
          <w:highlight w:val="none"/>
        </w:rPr>
      </w:pPr>
      <w:r>
        <w:rPr>
          <w:rFonts w:ascii="Times New Roman" w:hAnsi="Times New Roman"/>
          <w:color w:val="000000"/>
          <w:sz w:val="28"/>
          <w:highlight w:val="none"/>
        </w:rPr>
        <w:t>(一)项目管理机构组成表</w:t>
      </w:r>
    </w:p>
    <w:tbl>
      <w:tblPr>
        <w:tblStyle w:val="15"/>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7"/>
        <w:gridCol w:w="1696"/>
        <w:gridCol w:w="1244"/>
        <w:gridCol w:w="1575"/>
        <w:gridCol w:w="1215"/>
        <w:gridCol w:w="1276"/>
        <w:gridCol w:w="1134"/>
        <w:gridCol w:w="756"/>
      </w:tblGrid>
      <w:tr w14:paraId="5093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restart"/>
            <w:vAlign w:val="center"/>
          </w:tcPr>
          <w:p w14:paraId="0CDC53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序号</w:t>
            </w:r>
          </w:p>
        </w:tc>
        <w:tc>
          <w:tcPr>
            <w:tcW w:w="1696" w:type="dxa"/>
            <w:vMerge w:val="restart"/>
            <w:vAlign w:val="center"/>
          </w:tcPr>
          <w:p w14:paraId="52A9E70C">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职务</w:t>
            </w:r>
          </w:p>
        </w:tc>
        <w:tc>
          <w:tcPr>
            <w:tcW w:w="1244" w:type="dxa"/>
            <w:vMerge w:val="restart"/>
            <w:vAlign w:val="center"/>
          </w:tcPr>
          <w:p w14:paraId="6934A4FE">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姓名</w:t>
            </w:r>
          </w:p>
        </w:tc>
        <w:tc>
          <w:tcPr>
            <w:tcW w:w="2790" w:type="dxa"/>
            <w:gridSpan w:val="2"/>
            <w:vAlign w:val="center"/>
          </w:tcPr>
          <w:p w14:paraId="137E01FD">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执业或职业资格</w:t>
            </w:r>
          </w:p>
        </w:tc>
        <w:tc>
          <w:tcPr>
            <w:tcW w:w="2410" w:type="dxa"/>
            <w:gridSpan w:val="2"/>
            <w:vAlign w:val="center"/>
          </w:tcPr>
          <w:p w14:paraId="1F52E08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w:t>
            </w:r>
          </w:p>
        </w:tc>
        <w:tc>
          <w:tcPr>
            <w:tcW w:w="756" w:type="dxa"/>
            <w:vMerge w:val="restart"/>
            <w:vAlign w:val="center"/>
          </w:tcPr>
          <w:p w14:paraId="76B81C79">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备注</w:t>
            </w:r>
          </w:p>
        </w:tc>
      </w:tr>
      <w:tr w14:paraId="74B9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Merge w:val="continue"/>
            <w:vAlign w:val="center"/>
          </w:tcPr>
          <w:p w14:paraId="3368AEB1">
            <w:pPr>
              <w:spacing w:line="360" w:lineRule="auto"/>
              <w:jc w:val="center"/>
              <w:rPr>
                <w:rFonts w:ascii="Times New Roman" w:hAnsi="Times New Roman" w:cs="Times New Roman"/>
                <w:color w:val="000000"/>
                <w:szCs w:val="21"/>
                <w:highlight w:val="none"/>
              </w:rPr>
            </w:pPr>
          </w:p>
        </w:tc>
        <w:tc>
          <w:tcPr>
            <w:tcW w:w="1696" w:type="dxa"/>
            <w:vMerge w:val="continue"/>
            <w:vAlign w:val="center"/>
          </w:tcPr>
          <w:p w14:paraId="07DAC597">
            <w:pPr>
              <w:spacing w:line="360" w:lineRule="auto"/>
              <w:jc w:val="center"/>
              <w:rPr>
                <w:rFonts w:ascii="Times New Roman" w:hAnsi="Times New Roman" w:cs="Times New Roman"/>
                <w:color w:val="000000"/>
                <w:szCs w:val="21"/>
                <w:highlight w:val="none"/>
              </w:rPr>
            </w:pPr>
          </w:p>
        </w:tc>
        <w:tc>
          <w:tcPr>
            <w:tcW w:w="1244" w:type="dxa"/>
            <w:vMerge w:val="continue"/>
            <w:vAlign w:val="center"/>
          </w:tcPr>
          <w:p w14:paraId="06381568">
            <w:pPr>
              <w:spacing w:line="360" w:lineRule="auto"/>
              <w:jc w:val="center"/>
              <w:rPr>
                <w:rFonts w:ascii="Times New Roman" w:hAnsi="Times New Roman" w:cs="Times New Roman"/>
                <w:color w:val="000000"/>
                <w:szCs w:val="21"/>
                <w:highlight w:val="none"/>
              </w:rPr>
            </w:pPr>
          </w:p>
        </w:tc>
        <w:tc>
          <w:tcPr>
            <w:tcW w:w="1575" w:type="dxa"/>
            <w:vAlign w:val="center"/>
          </w:tcPr>
          <w:p w14:paraId="398A37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证书名称</w:t>
            </w:r>
          </w:p>
        </w:tc>
        <w:tc>
          <w:tcPr>
            <w:tcW w:w="1215" w:type="dxa"/>
            <w:vAlign w:val="center"/>
          </w:tcPr>
          <w:p w14:paraId="3E65B55A">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证书编号</w:t>
            </w:r>
          </w:p>
        </w:tc>
        <w:tc>
          <w:tcPr>
            <w:tcW w:w="1276" w:type="dxa"/>
            <w:vAlign w:val="center"/>
          </w:tcPr>
          <w:p w14:paraId="206D1E0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职称专业</w:t>
            </w:r>
          </w:p>
        </w:tc>
        <w:tc>
          <w:tcPr>
            <w:tcW w:w="1134" w:type="dxa"/>
            <w:vAlign w:val="center"/>
          </w:tcPr>
          <w:p w14:paraId="64DE45F2">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级别</w:t>
            </w:r>
          </w:p>
        </w:tc>
        <w:tc>
          <w:tcPr>
            <w:tcW w:w="756" w:type="dxa"/>
            <w:vMerge w:val="continue"/>
            <w:vAlign w:val="center"/>
          </w:tcPr>
          <w:p w14:paraId="1B4FF8AC">
            <w:pPr>
              <w:spacing w:line="360" w:lineRule="auto"/>
              <w:jc w:val="center"/>
              <w:rPr>
                <w:rFonts w:ascii="Times New Roman" w:hAnsi="Times New Roman" w:cs="Times New Roman"/>
                <w:color w:val="000000"/>
                <w:szCs w:val="21"/>
                <w:highlight w:val="none"/>
              </w:rPr>
            </w:pPr>
          </w:p>
        </w:tc>
      </w:tr>
      <w:tr w14:paraId="5852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737" w:type="dxa"/>
            <w:vAlign w:val="center"/>
          </w:tcPr>
          <w:p w14:paraId="7D8D6F41">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一</w:t>
            </w:r>
          </w:p>
        </w:tc>
        <w:tc>
          <w:tcPr>
            <w:tcW w:w="1696" w:type="dxa"/>
            <w:vAlign w:val="center"/>
          </w:tcPr>
          <w:p w14:paraId="36BE8A0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项目经理</w:t>
            </w:r>
          </w:p>
        </w:tc>
        <w:tc>
          <w:tcPr>
            <w:tcW w:w="1244" w:type="dxa"/>
            <w:vAlign w:val="center"/>
          </w:tcPr>
          <w:p w14:paraId="3460DF11">
            <w:pPr>
              <w:spacing w:line="360" w:lineRule="auto"/>
              <w:jc w:val="center"/>
              <w:rPr>
                <w:rFonts w:ascii="Times New Roman" w:hAnsi="Times New Roman" w:cs="Times New Roman"/>
                <w:color w:val="000000"/>
                <w:szCs w:val="21"/>
                <w:highlight w:val="none"/>
              </w:rPr>
            </w:pPr>
          </w:p>
        </w:tc>
        <w:tc>
          <w:tcPr>
            <w:tcW w:w="1575" w:type="dxa"/>
            <w:vAlign w:val="center"/>
          </w:tcPr>
          <w:p w14:paraId="53BC9856">
            <w:pPr>
              <w:spacing w:line="360" w:lineRule="auto"/>
              <w:jc w:val="center"/>
              <w:rPr>
                <w:rFonts w:ascii="Times New Roman" w:hAnsi="Times New Roman" w:cs="Times New Roman"/>
                <w:color w:val="000000"/>
                <w:szCs w:val="21"/>
                <w:highlight w:val="none"/>
              </w:rPr>
            </w:pPr>
          </w:p>
        </w:tc>
        <w:tc>
          <w:tcPr>
            <w:tcW w:w="1215" w:type="dxa"/>
            <w:vAlign w:val="center"/>
          </w:tcPr>
          <w:p w14:paraId="5FA686CA">
            <w:pPr>
              <w:spacing w:line="360" w:lineRule="auto"/>
              <w:jc w:val="center"/>
              <w:rPr>
                <w:rFonts w:ascii="Times New Roman" w:hAnsi="Times New Roman" w:cs="Times New Roman"/>
                <w:color w:val="000000"/>
                <w:szCs w:val="21"/>
                <w:highlight w:val="none"/>
              </w:rPr>
            </w:pPr>
          </w:p>
        </w:tc>
        <w:tc>
          <w:tcPr>
            <w:tcW w:w="1276" w:type="dxa"/>
            <w:vAlign w:val="center"/>
          </w:tcPr>
          <w:p w14:paraId="04051BD9">
            <w:pPr>
              <w:spacing w:line="360" w:lineRule="auto"/>
              <w:jc w:val="center"/>
              <w:rPr>
                <w:rFonts w:ascii="Times New Roman" w:hAnsi="Times New Roman" w:cs="Times New Roman"/>
                <w:color w:val="000000"/>
                <w:szCs w:val="21"/>
                <w:highlight w:val="none"/>
              </w:rPr>
            </w:pPr>
          </w:p>
        </w:tc>
        <w:tc>
          <w:tcPr>
            <w:tcW w:w="1134" w:type="dxa"/>
            <w:vAlign w:val="center"/>
          </w:tcPr>
          <w:p w14:paraId="79E56D68">
            <w:pPr>
              <w:spacing w:line="360" w:lineRule="auto"/>
              <w:jc w:val="center"/>
              <w:rPr>
                <w:rFonts w:ascii="Times New Roman" w:hAnsi="Times New Roman" w:cs="Times New Roman"/>
                <w:color w:val="000000"/>
                <w:szCs w:val="21"/>
                <w:highlight w:val="none"/>
              </w:rPr>
            </w:pPr>
          </w:p>
        </w:tc>
        <w:tc>
          <w:tcPr>
            <w:tcW w:w="756" w:type="dxa"/>
            <w:vAlign w:val="center"/>
          </w:tcPr>
          <w:p w14:paraId="44ACD65B">
            <w:pPr>
              <w:spacing w:line="360" w:lineRule="auto"/>
              <w:jc w:val="center"/>
              <w:rPr>
                <w:rFonts w:ascii="Times New Roman" w:hAnsi="Times New Roman" w:cs="Times New Roman"/>
                <w:color w:val="000000"/>
                <w:szCs w:val="21"/>
                <w:highlight w:val="none"/>
              </w:rPr>
            </w:pPr>
          </w:p>
        </w:tc>
      </w:tr>
      <w:tr w14:paraId="16DE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1A14D12B">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二</w:t>
            </w:r>
          </w:p>
        </w:tc>
        <w:tc>
          <w:tcPr>
            <w:tcW w:w="1696" w:type="dxa"/>
            <w:vAlign w:val="center"/>
          </w:tcPr>
          <w:p w14:paraId="798CDE45">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技术负责人</w:t>
            </w:r>
          </w:p>
        </w:tc>
        <w:tc>
          <w:tcPr>
            <w:tcW w:w="1244" w:type="dxa"/>
            <w:vAlign w:val="center"/>
          </w:tcPr>
          <w:p w14:paraId="5ADACDAE">
            <w:pPr>
              <w:spacing w:line="360" w:lineRule="auto"/>
              <w:jc w:val="center"/>
              <w:rPr>
                <w:rFonts w:ascii="Times New Roman" w:hAnsi="Times New Roman" w:cs="Times New Roman"/>
                <w:color w:val="000000"/>
                <w:szCs w:val="21"/>
                <w:highlight w:val="none"/>
              </w:rPr>
            </w:pPr>
          </w:p>
        </w:tc>
        <w:tc>
          <w:tcPr>
            <w:tcW w:w="1575" w:type="dxa"/>
            <w:vAlign w:val="center"/>
          </w:tcPr>
          <w:p w14:paraId="0154613E">
            <w:pPr>
              <w:spacing w:line="360" w:lineRule="auto"/>
              <w:jc w:val="center"/>
              <w:rPr>
                <w:rFonts w:ascii="Times New Roman" w:hAnsi="Times New Roman" w:cs="Times New Roman"/>
                <w:color w:val="000000"/>
                <w:szCs w:val="21"/>
                <w:highlight w:val="none"/>
              </w:rPr>
            </w:pPr>
          </w:p>
        </w:tc>
        <w:tc>
          <w:tcPr>
            <w:tcW w:w="1215" w:type="dxa"/>
            <w:vAlign w:val="center"/>
          </w:tcPr>
          <w:p w14:paraId="1DE795D2">
            <w:pPr>
              <w:spacing w:line="360" w:lineRule="auto"/>
              <w:jc w:val="center"/>
              <w:rPr>
                <w:rFonts w:ascii="Times New Roman" w:hAnsi="Times New Roman" w:cs="Times New Roman"/>
                <w:color w:val="000000"/>
                <w:szCs w:val="21"/>
                <w:highlight w:val="none"/>
              </w:rPr>
            </w:pPr>
          </w:p>
        </w:tc>
        <w:tc>
          <w:tcPr>
            <w:tcW w:w="1276" w:type="dxa"/>
            <w:vAlign w:val="center"/>
          </w:tcPr>
          <w:p w14:paraId="0C7B6C6C">
            <w:pPr>
              <w:spacing w:line="360" w:lineRule="auto"/>
              <w:jc w:val="center"/>
              <w:rPr>
                <w:rFonts w:ascii="Times New Roman" w:hAnsi="Times New Roman" w:cs="Times New Roman"/>
                <w:color w:val="000000"/>
                <w:szCs w:val="21"/>
                <w:highlight w:val="none"/>
              </w:rPr>
            </w:pPr>
          </w:p>
        </w:tc>
        <w:tc>
          <w:tcPr>
            <w:tcW w:w="1134" w:type="dxa"/>
            <w:vAlign w:val="center"/>
          </w:tcPr>
          <w:p w14:paraId="7B31BFB9">
            <w:pPr>
              <w:spacing w:line="360" w:lineRule="auto"/>
              <w:jc w:val="center"/>
              <w:rPr>
                <w:rFonts w:ascii="Times New Roman" w:hAnsi="Times New Roman" w:cs="Times New Roman"/>
                <w:color w:val="000000"/>
                <w:szCs w:val="21"/>
                <w:highlight w:val="none"/>
              </w:rPr>
            </w:pPr>
          </w:p>
        </w:tc>
        <w:tc>
          <w:tcPr>
            <w:tcW w:w="756" w:type="dxa"/>
            <w:vAlign w:val="center"/>
          </w:tcPr>
          <w:p w14:paraId="50997105">
            <w:pPr>
              <w:spacing w:line="360" w:lineRule="auto"/>
              <w:jc w:val="center"/>
              <w:rPr>
                <w:rFonts w:ascii="Times New Roman" w:hAnsi="Times New Roman" w:cs="Times New Roman"/>
                <w:color w:val="000000"/>
                <w:szCs w:val="21"/>
                <w:highlight w:val="none"/>
              </w:rPr>
            </w:pPr>
          </w:p>
        </w:tc>
      </w:tr>
      <w:tr w14:paraId="16D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28C2A454">
            <w:pPr>
              <w:spacing w:line="360" w:lineRule="auto"/>
              <w:jc w:val="center"/>
              <w:rPr>
                <w:rFonts w:ascii="Times New Roman" w:hAnsi="Times New Roman" w:cs="Times New Roman"/>
                <w:color w:val="000000"/>
                <w:szCs w:val="21"/>
                <w:highlight w:val="none"/>
              </w:rPr>
            </w:pPr>
            <w:r>
              <w:rPr>
                <w:rFonts w:ascii="Times New Roman" w:hAnsi="Times New Roman" w:cs="Times New Roman"/>
                <w:color w:val="000000"/>
                <w:szCs w:val="21"/>
                <w:highlight w:val="none"/>
              </w:rPr>
              <w:t>三</w:t>
            </w:r>
          </w:p>
        </w:tc>
        <w:tc>
          <w:tcPr>
            <w:tcW w:w="1696" w:type="dxa"/>
            <w:vAlign w:val="center"/>
          </w:tcPr>
          <w:p w14:paraId="350496F0">
            <w:pPr>
              <w:jc w:val="center"/>
              <w:rPr>
                <w:rFonts w:ascii="Times New Roman" w:hAnsi="Times New Roman" w:eastAsia="宋体" w:cs="Times New Roman"/>
                <w:kern w:val="2"/>
                <w:sz w:val="21"/>
                <w:szCs w:val="21"/>
                <w:highlight w:val="none"/>
                <w:lang w:val="en-US" w:eastAsia="zh-CN" w:bidi="ar-SA"/>
              </w:rPr>
            </w:pPr>
            <w:r>
              <w:rPr>
                <w:rFonts w:ascii="Times New Roman" w:hAnsi="Times New Roman" w:cs="Times New Roman"/>
                <w:szCs w:val="21"/>
                <w:highlight w:val="none"/>
              </w:rPr>
              <w:t>安全负责人</w:t>
            </w:r>
          </w:p>
        </w:tc>
        <w:tc>
          <w:tcPr>
            <w:tcW w:w="1244" w:type="dxa"/>
            <w:vAlign w:val="center"/>
          </w:tcPr>
          <w:p w14:paraId="2A37A4B0">
            <w:pPr>
              <w:spacing w:line="360" w:lineRule="auto"/>
              <w:jc w:val="center"/>
              <w:rPr>
                <w:rFonts w:ascii="Times New Roman" w:hAnsi="Times New Roman" w:cs="Times New Roman"/>
                <w:color w:val="000000"/>
                <w:szCs w:val="21"/>
                <w:highlight w:val="none"/>
              </w:rPr>
            </w:pPr>
          </w:p>
        </w:tc>
        <w:tc>
          <w:tcPr>
            <w:tcW w:w="1575" w:type="dxa"/>
            <w:vAlign w:val="center"/>
          </w:tcPr>
          <w:p w14:paraId="54BF315D">
            <w:pPr>
              <w:spacing w:line="360" w:lineRule="auto"/>
              <w:jc w:val="center"/>
              <w:rPr>
                <w:rFonts w:ascii="Times New Roman" w:hAnsi="Times New Roman" w:cs="Times New Roman"/>
                <w:color w:val="000000"/>
                <w:szCs w:val="21"/>
                <w:highlight w:val="none"/>
              </w:rPr>
            </w:pPr>
          </w:p>
        </w:tc>
        <w:tc>
          <w:tcPr>
            <w:tcW w:w="1215" w:type="dxa"/>
            <w:vAlign w:val="center"/>
          </w:tcPr>
          <w:p w14:paraId="44D37869">
            <w:pPr>
              <w:spacing w:line="360" w:lineRule="auto"/>
              <w:jc w:val="center"/>
              <w:rPr>
                <w:rFonts w:ascii="Times New Roman" w:hAnsi="Times New Roman" w:cs="Times New Roman"/>
                <w:color w:val="000000"/>
                <w:szCs w:val="21"/>
                <w:highlight w:val="none"/>
              </w:rPr>
            </w:pPr>
          </w:p>
        </w:tc>
        <w:tc>
          <w:tcPr>
            <w:tcW w:w="1276" w:type="dxa"/>
            <w:vAlign w:val="center"/>
          </w:tcPr>
          <w:p w14:paraId="65F0E5AC">
            <w:pPr>
              <w:spacing w:line="360" w:lineRule="auto"/>
              <w:jc w:val="center"/>
              <w:rPr>
                <w:rFonts w:ascii="Times New Roman" w:hAnsi="Times New Roman" w:cs="Times New Roman"/>
                <w:color w:val="000000"/>
                <w:szCs w:val="21"/>
                <w:highlight w:val="none"/>
              </w:rPr>
            </w:pPr>
          </w:p>
        </w:tc>
        <w:tc>
          <w:tcPr>
            <w:tcW w:w="1134" w:type="dxa"/>
            <w:vAlign w:val="center"/>
          </w:tcPr>
          <w:p w14:paraId="7324F8F9">
            <w:pPr>
              <w:spacing w:line="360" w:lineRule="auto"/>
              <w:jc w:val="center"/>
              <w:rPr>
                <w:rFonts w:ascii="Times New Roman" w:hAnsi="Times New Roman" w:cs="Times New Roman"/>
                <w:color w:val="000000"/>
                <w:szCs w:val="21"/>
                <w:highlight w:val="none"/>
              </w:rPr>
            </w:pPr>
          </w:p>
        </w:tc>
        <w:tc>
          <w:tcPr>
            <w:tcW w:w="756" w:type="dxa"/>
            <w:vAlign w:val="center"/>
          </w:tcPr>
          <w:p w14:paraId="743C9C45">
            <w:pPr>
              <w:spacing w:line="360" w:lineRule="auto"/>
              <w:jc w:val="center"/>
              <w:rPr>
                <w:rFonts w:ascii="Times New Roman" w:hAnsi="Times New Roman" w:cs="Times New Roman"/>
                <w:color w:val="000000"/>
                <w:szCs w:val="21"/>
                <w:highlight w:val="none"/>
              </w:rPr>
            </w:pPr>
          </w:p>
        </w:tc>
      </w:tr>
      <w:tr w14:paraId="16F3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737" w:type="dxa"/>
            <w:vAlign w:val="center"/>
          </w:tcPr>
          <w:p w14:paraId="31C620B8">
            <w:pPr>
              <w:spacing w:line="360" w:lineRule="auto"/>
              <w:jc w:val="center"/>
              <w:rPr>
                <w:rFonts w:ascii="Times New Roman" w:hAnsi="Times New Roman" w:cs="Times New Roman"/>
                <w:color w:val="000000"/>
                <w:szCs w:val="21"/>
                <w:highlight w:val="none"/>
              </w:rPr>
            </w:pPr>
          </w:p>
        </w:tc>
        <w:tc>
          <w:tcPr>
            <w:tcW w:w="1696" w:type="dxa"/>
            <w:vAlign w:val="center"/>
          </w:tcPr>
          <w:p w14:paraId="2AA368E7">
            <w:pPr>
              <w:jc w:val="center"/>
              <w:rPr>
                <w:rFonts w:ascii="Times New Roman" w:hAnsi="Times New Roman" w:cs="Times New Roman"/>
                <w:szCs w:val="21"/>
                <w:highlight w:val="none"/>
              </w:rPr>
            </w:pPr>
          </w:p>
        </w:tc>
        <w:tc>
          <w:tcPr>
            <w:tcW w:w="1244" w:type="dxa"/>
            <w:vAlign w:val="center"/>
          </w:tcPr>
          <w:p w14:paraId="3AB9F8CD">
            <w:pPr>
              <w:spacing w:line="360" w:lineRule="auto"/>
              <w:jc w:val="center"/>
              <w:rPr>
                <w:rFonts w:ascii="Times New Roman" w:hAnsi="Times New Roman" w:cs="Times New Roman"/>
                <w:color w:val="000000"/>
                <w:szCs w:val="21"/>
                <w:highlight w:val="none"/>
              </w:rPr>
            </w:pPr>
          </w:p>
        </w:tc>
        <w:tc>
          <w:tcPr>
            <w:tcW w:w="1575" w:type="dxa"/>
            <w:vAlign w:val="center"/>
          </w:tcPr>
          <w:p w14:paraId="4852125A">
            <w:pPr>
              <w:spacing w:line="360" w:lineRule="auto"/>
              <w:jc w:val="center"/>
              <w:rPr>
                <w:rFonts w:ascii="Times New Roman" w:hAnsi="Times New Roman" w:cs="Times New Roman"/>
                <w:color w:val="000000"/>
                <w:szCs w:val="21"/>
                <w:highlight w:val="none"/>
              </w:rPr>
            </w:pPr>
          </w:p>
        </w:tc>
        <w:tc>
          <w:tcPr>
            <w:tcW w:w="1215" w:type="dxa"/>
            <w:vAlign w:val="center"/>
          </w:tcPr>
          <w:p w14:paraId="39B18CDB">
            <w:pPr>
              <w:spacing w:line="360" w:lineRule="auto"/>
              <w:jc w:val="center"/>
              <w:rPr>
                <w:rFonts w:ascii="Times New Roman" w:hAnsi="Times New Roman" w:cs="Times New Roman"/>
                <w:color w:val="000000"/>
                <w:szCs w:val="21"/>
                <w:highlight w:val="none"/>
              </w:rPr>
            </w:pPr>
          </w:p>
        </w:tc>
        <w:tc>
          <w:tcPr>
            <w:tcW w:w="1276" w:type="dxa"/>
            <w:vAlign w:val="center"/>
          </w:tcPr>
          <w:p w14:paraId="7BF37302">
            <w:pPr>
              <w:spacing w:line="360" w:lineRule="auto"/>
              <w:jc w:val="center"/>
              <w:rPr>
                <w:rFonts w:ascii="Times New Roman" w:hAnsi="Times New Roman" w:cs="Times New Roman"/>
                <w:color w:val="000000"/>
                <w:szCs w:val="21"/>
                <w:highlight w:val="none"/>
              </w:rPr>
            </w:pPr>
          </w:p>
        </w:tc>
        <w:tc>
          <w:tcPr>
            <w:tcW w:w="1134" w:type="dxa"/>
            <w:vAlign w:val="center"/>
          </w:tcPr>
          <w:p w14:paraId="00FE2234">
            <w:pPr>
              <w:spacing w:line="360" w:lineRule="auto"/>
              <w:jc w:val="center"/>
              <w:rPr>
                <w:rFonts w:ascii="Times New Roman" w:hAnsi="Times New Roman" w:cs="Times New Roman"/>
                <w:color w:val="000000"/>
                <w:szCs w:val="21"/>
                <w:highlight w:val="none"/>
              </w:rPr>
            </w:pPr>
          </w:p>
        </w:tc>
        <w:tc>
          <w:tcPr>
            <w:tcW w:w="756" w:type="dxa"/>
            <w:vAlign w:val="center"/>
          </w:tcPr>
          <w:p w14:paraId="07A0C5CA">
            <w:pPr>
              <w:spacing w:line="360" w:lineRule="auto"/>
              <w:jc w:val="center"/>
              <w:rPr>
                <w:rFonts w:ascii="Times New Roman" w:hAnsi="Times New Roman" w:cs="Times New Roman"/>
                <w:color w:val="000000"/>
                <w:szCs w:val="21"/>
                <w:highlight w:val="none"/>
              </w:rPr>
            </w:pPr>
          </w:p>
        </w:tc>
      </w:tr>
    </w:tbl>
    <w:p w14:paraId="6A9CA1DC">
      <w:pPr>
        <w:spacing w:line="360" w:lineRule="auto"/>
        <w:jc w:val="left"/>
        <w:rPr>
          <w:rFonts w:ascii="Times New Roman" w:hAnsi="Times New Roman" w:cs="Times New Roman"/>
          <w:szCs w:val="21"/>
          <w:highlight w:val="none"/>
        </w:rPr>
      </w:pPr>
      <w:r>
        <w:rPr>
          <w:rFonts w:ascii="Times New Roman" w:hAnsi="Times New Roman" w:cs="Times New Roman"/>
          <w:szCs w:val="21"/>
          <w:highlight w:val="none"/>
        </w:rPr>
        <w:t>注：</w:t>
      </w:r>
    </w:p>
    <w:p w14:paraId="5330ADD8">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auto"/>
          <w:kern w:val="0"/>
          <w:szCs w:val="21"/>
          <w:highlight w:val="none"/>
          <w:lang w:eastAsia="zh-CN" w:bidi="ar"/>
        </w:rPr>
      </w:pPr>
      <w:r>
        <w:rPr>
          <w:rFonts w:ascii="Times New Roman" w:hAnsi="Times New Roman" w:cs="Times New Roman"/>
          <w:szCs w:val="21"/>
          <w:highlight w:val="none"/>
        </w:rPr>
        <w:t>（1）</w:t>
      </w:r>
      <w:r>
        <w:rPr>
          <w:rFonts w:hint="eastAsia" w:ascii="Times New Roman" w:hAnsi="Times New Roman" w:cs="Times New Roman"/>
          <w:szCs w:val="21"/>
          <w:highlight w:val="none"/>
          <w:lang w:val="en-US" w:eastAsia="zh-CN"/>
        </w:rPr>
        <w:t>比选申请人</w:t>
      </w:r>
      <w:r>
        <w:rPr>
          <w:rFonts w:hint="eastAsia" w:ascii="宋体" w:hAnsi="宋体" w:eastAsia="宋体" w:cs="宋体"/>
          <w:color w:val="auto"/>
          <w:kern w:val="0"/>
          <w:szCs w:val="21"/>
          <w:highlight w:val="none"/>
          <w:lang w:eastAsia="zh-CN" w:bidi="ar"/>
        </w:rPr>
        <w:t>在表后应提供相关证明材料</w:t>
      </w:r>
      <w:r>
        <w:rPr>
          <w:rFonts w:hint="eastAsia" w:ascii="宋体" w:hAnsi="宋体" w:eastAsia="宋体" w:cs="宋体"/>
          <w:color w:val="auto"/>
          <w:kern w:val="0"/>
          <w:szCs w:val="21"/>
          <w:highlight w:val="none"/>
          <w:lang w:val="en-US" w:eastAsia="zh-CN" w:bidi="ar"/>
        </w:rPr>
        <w:t>影印件</w:t>
      </w:r>
      <w:r>
        <w:rPr>
          <w:rFonts w:hint="eastAsia" w:ascii="宋体" w:hAnsi="宋体" w:eastAsia="宋体" w:cs="宋体"/>
          <w:color w:val="auto"/>
          <w:kern w:val="0"/>
          <w:szCs w:val="21"/>
          <w:highlight w:val="none"/>
          <w:lang w:bidi="ar"/>
        </w:rPr>
        <w:t>（黑白或彩色）并加盖</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bidi="ar"/>
        </w:rPr>
        <w:t>人单位章</w:t>
      </w:r>
      <w:r>
        <w:rPr>
          <w:rFonts w:hint="eastAsia" w:ascii="宋体" w:hAnsi="宋体" w:eastAsia="宋体" w:cs="宋体"/>
          <w:color w:val="auto"/>
          <w:kern w:val="0"/>
          <w:szCs w:val="21"/>
          <w:highlight w:val="none"/>
          <w:lang w:eastAsia="zh-CN" w:bidi="ar"/>
        </w:rPr>
        <w:t>：（身份证、职称证、</w:t>
      </w:r>
      <w:r>
        <w:rPr>
          <w:rFonts w:hint="eastAsia" w:ascii="宋体" w:hAnsi="宋体" w:cs="宋体"/>
          <w:color w:val="auto"/>
          <w:kern w:val="0"/>
          <w:szCs w:val="21"/>
          <w:highlight w:val="none"/>
          <w:lang w:val="en-US" w:eastAsia="zh-CN" w:bidi="ar"/>
        </w:rPr>
        <w:t>建造师注册证</w:t>
      </w:r>
      <w:r>
        <w:rPr>
          <w:rFonts w:hint="eastAsia" w:ascii="宋体" w:hAnsi="宋体" w:eastAsia="宋体" w:cs="宋体"/>
          <w:color w:val="auto"/>
          <w:kern w:val="0"/>
          <w:szCs w:val="21"/>
          <w:highlight w:val="none"/>
          <w:lang w:eastAsia="zh-CN" w:bidi="ar"/>
        </w:rPr>
        <w:t>、安全生产考核合格证、社保证明、个人业绩证明</w:t>
      </w:r>
      <w:r>
        <w:rPr>
          <w:rFonts w:hint="eastAsia" w:ascii="宋体" w:hAnsi="宋体" w:eastAsia="宋体" w:cs="宋体"/>
          <w:color w:val="auto"/>
          <w:kern w:val="0"/>
          <w:szCs w:val="21"/>
          <w:highlight w:val="none"/>
          <w:lang w:val="en-US" w:eastAsia="zh-CN" w:bidi="ar"/>
        </w:rPr>
        <w:t>等</w:t>
      </w:r>
      <w:r>
        <w:rPr>
          <w:rFonts w:hint="eastAsia" w:ascii="宋体" w:hAnsi="宋体" w:eastAsia="宋体" w:cs="宋体"/>
          <w:color w:val="auto"/>
          <w:kern w:val="0"/>
          <w:szCs w:val="21"/>
          <w:highlight w:val="none"/>
          <w:lang w:eastAsia="zh-CN" w:bidi="ar"/>
        </w:rPr>
        <w:t>）。因</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人自身原因未提供附件或提供的附件不能与所证明的内容相匹配，造成业绩或其他内容不予认可时，</w:t>
      </w:r>
      <w:r>
        <w:rPr>
          <w:rFonts w:hint="eastAsia" w:ascii="宋体" w:hAnsi="宋体" w:cs="宋体"/>
          <w:color w:val="auto"/>
          <w:kern w:val="0"/>
          <w:szCs w:val="21"/>
          <w:highlight w:val="none"/>
          <w:lang w:val="en-US" w:eastAsia="zh-CN" w:bidi="ar"/>
        </w:rPr>
        <w:t>比选申请</w:t>
      </w:r>
      <w:r>
        <w:rPr>
          <w:rFonts w:hint="eastAsia" w:ascii="宋体" w:hAnsi="宋体" w:eastAsia="宋体" w:cs="宋体"/>
          <w:color w:val="auto"/>
          <w:kern w:val="0"/>
          <w:szCs w:val="21"/>
          <w:highlight w:val="none"/>
          <w:lang w:eastAsia="zh-CN" w:bidi="ar"/>
        </w:rPr>
        <w:t>人自行承担相关责任。</w:t>
      </w:r>
    </w:p>
    <w:p w14:paraId="56AE51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kern w:val="0"/>
          <w:szCs w:val="21"/>
          <w:highlight w:val="none"/>
          <w:lang w:val="en-US" w:eastAsia="zh-CN" w:bidi="ar"/>
        </w:rPr>
      </w:pP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w:t>
      </w:r>
      <w:r>
        <w:rPr>
          <w:rFonts w:hint="eastAsia" w:ascii="宋体" w:hAnsi="宋体" w:eastAsia="宋体" w:cs="宋体"/>
          <w:color w:val="auto"/>
          <w:kern w:val="0"/>
          <w:szCs w:val="21"/>
          <w:highlight w:val="none"/>
          <w:lang w:eastAsia="zh-CN" w:bidi="ar"/>
        </w:rPr>
        <w:t>个人业绩证明材料为：</w:t>
      </w:r>
      <w:r>
        <w:rPr>
          <w:rFonts w:hint="eastAsia" w:ascii="宋体" w:hAnsi="宋体" w:eastAsia="宋体" w:cs="宋体"/>
          <w:color w:val="auto"/>
          <w:kern w:val="0"/>
          <w:szCs w:val="21"/>
          <w:highlight w:val="none"/>
          <w:lang w:val="en-US" w:eastAsia="zh-CN"/>
        </w:rPr>
        <w:t>合同协议书须能清晰</w:t>
      </w:r>
      <w:r>
        <w:rPr>
          <w:rFonts w:hint="eastAsia" w:ascii="宋体" w:hAnsi="宋体" w:cs="宋体"/>
          <w:color w:val="auto"/>
          <w:kern w:val="0"/>
          <w:szCs w:val="21"/>
          <w:highlight w:val="none"/>
          <w:lang w:val="en-US" w:eastAsia="zh-CN"/>
        </w:rPr>
        <w:t>反映其</w:t>
      </w:r>
      <w:r>
        <w:rPr>
          <w:rFonts w:hint="eastAsia" w:ascii="宋体" w:hAnsi="宋体" w:eastAsia="宋体" w:cs="宋体"/>
          <w:color w:val="auto"/>
          <w:kern w:val="0"/>
          <w:szCs w:val="21"/>
          <w:highlight w:val="none"/>
          <w:lang w:val="en-US" w:eastAsia="zh-CN"/>
        </w:rPr>
        <w:t>在类似项目中担任的职务。</w:t>
      </w:r>
    </w:p>
    <w:p w14:paraId="3682FBCB">
      <w:pPr>
        <w:pStyle w:val="5"/>
        <w:spacing w:before="280" w:after="290" w:line="377" w:lineRule="auto"/>
        <w:rPr>
          <w:rFonts w:ascii="Times New Roman" w:hAnsi="Times New Roman"/>
          <w:sz w:val="24"/>
          <w:szCs w:val="24"/>
          <w:highlight w:val="none"/>
        </w:rPr>
      </w:pPr>
    </w:p>
    <w:p w14:paraId="2F96806C">
      <w:pPr>
        <w:rPr>
          <w:rFonts w:ascii="Times New Roman" w:hAnsi="Times New Roman" w:cs="Times New Roman"/>
          <w:sz w:val="24"/>
          <w:szCs w:val="24"/>
          <w:highlight w:val="none"/>
        </w:rPr>
      </w:pPr>
    </w:p>
    <w:p w14:paraId="78EC9D8B">
      <w:pPr>
        <w:pStyle w:val="8"/>
        <w:rPr>
          <w:highlight w:val="none"/>
        </w:rPr>
      </w:pPr>
    </w:p>
    <w:p w14:paraId="0162B216">
      <w:pPr>
        <w:rPr>
          <w:rFonts w:ascii="Times New Roman" w:hAnsi="Times New Roman" w:cs="Times New Roman"/>
          <w:highlight w:val="none"/>
        </w:rPr>
      </w:pPr>
    </w:p>
    <w:p w14:paraId="226D2D66">
      <w:pPr>
        <w:pStyle w:val="8"/>
        <w:rPr>
          <w:highlight w:val="none"/>
        </w:rPr>
      </w:pPr>
    </w:p>
    <w:p w14:paraId="27D825D5">
      <w:pPr>
        <w:rPr>
          <w:rFonts w:ascii="Times New Roman" w:hAnsi="Times New Roman" w:cs="Times New Roman"/>
          <w:highlight w:val="none"/>
        </w:rPr>
      </w:pPr>
    </w:p>
    <w:p w14:paraId="21DE9F03">
      <w:pPr>
        <w:pStyle w:val="8"/>
        <w:rPr>
          <w:highlight w:val="none"/>
        </w:rPr>
      </w:pPr>
    </w:p>
    <w:p w14:paraId="07CC6CFA">
      <w:pPr>
        <w:rPr>
          <w:rFonts w:ascii="Times New Roman" w:hAnsi="Times New Roman" w:cs="Times New Roman"/>
          <w:highlight w:val="none"/>
        </w:rPr>
      </w:pPr>
    </w:p>
    <w:p w14:paraId="7E288792">
      <w:pPr>
        <w:pStyle w:val="8"/>
        <w:rPr>
          <w:rFonts w:ascii="Times New Roman" w:hAnsi="Times New Roman" w:cs="Times New Roman"/>
          <w:highlight w:val="none"/>
        </w:rPr>
      </w:pPr>
    </w:p>
    <w:p w14:paraId="4DB87875">
      <w:pPr>
        <w:pStyle w:val="20"/>
        <w:rPr>
          <w:highlight w:val="none"/>
        </w:rPr>
      </w:pPr>
    </w:p>
    <w:p w14:paraId="644BA89D">
      <w:pPr>
        <w:pStyle w:val="8"/>
        <w:rPr>
          <w:highlight w:val="none"/>
        </w:rPr>
      </w:pPr>
    </w:p>
    <w:p w14:paraId="27370570">
      <w:pPr>
        <w:rPr>
          <w:rFonts w:ascii="Times New Roman" w:hAnsi="Times New Roman" w:cs="Times New Roman"/>
          <w:highlight w:val="none"/>
        </w:rPr>
      </w:pPr>
    </w:p>
    <w:p w14:paraId="4B35F25F">
      <w:pPr>
        <w:pStyle w:val="4"/>
        <w:spacing w:line="240" w:lineRule="auto"/>
        <w:jc w:val="center"/>
        <w:rPr>
          <w:bCs w:val="0"/>
          <w:color w:val="000000"/>
          <w:sz w:val="28"/>
          <w:szCs w:val="28"/>
          <w:highlight w:val="none"/>
        </w:rPr>
      </w:pPr>
      <w:r>
        <w:rPr>
          <w:rFonts w:hint="eastAsia"/>
          <w:bCs w:val="0"/>
          <w:color w:val="000000"/>
          <w:sz w:val="28"/>
          <w:szCs w:val="28"/>
          <w:highlight w:val="none"/>
          <w:lang w:val="en-US" w:eastAsia="zh-CN"/>
        </w:rPr>
        <w:t>五</w:t>
      </w:r>
      <w:r>
        <w:rPr>
          <w:bCs w:val="0"/>
          <w:color w:val="000000"/>
          <w:sz w:val="28"/>
          <w:szCs w:val="28"/>
          <w:highlight w:val="none"/>
        </w:rPr>
        <w:t>、资格审查资料</w:t>
      </w:r>
    </w:p>
    <w:p w14:paraId="43EDA5FA">
      <w:pPr>
        <w:pStyle w:val="5"/>
        <w:spacing w:before="280" w:after="290" w:line="240" w:lineRule="auto"/>
        <w:ind w:left="359" w:leftChars="171"/>
        <w:jc w:val="center"/>
        <w:rPr>
          <w:rFonts w:ascii="Times New Roman" w:hAnsi="Times New Roman"/>
          <w:color w:val="000000"/>
          <w:sz w:val="28"/>
          <w:highlight w:val="none"/>
        </w:rPr>
      </w:pPr>
      <w:r>
        <w:rPr>
          <w:rFonts w:ascii="Times New Roman" w:hAnsi="Times New Roman"/>
          <w:color w:val="000000"/>
          <w:sz w:val="28"/>
          <w:highlight w:val="none"/>
        </w:rPr>
        <w:t>(一)</w:t>
      </w:r>
      <w:r>
        <w:rPr>
          <w:rFonts w:hint="eastAsia" w:ascii="Times New Roman" w:hAnsi="Times New Roman"/>
          <w:color w:val="000000"/>
          <w:sz w:val="28"/>
          <w:highlight w:val="none"/>
        </w:rPr>
        <w:t>比选申请人</w:t>
      </w:r>
      <w:r>
        <w:rPr>
          <w:rFonts w:ascii="Times New Roman" w:hAnsi="Times New Roman"/>
          <w:color w:val="000000"/>
          <w:sz w:val="28"/>
          <w:highlight w:val="none"/>
        </w:rPr>
        <w:t>基本情况表</w:t>
      </w:r>
    </w:p>
    <w:tbl>
      <w:tblPr>
        <w:tblStyle w:val="15"/>
        <w:tblW w:w="9748" w:type="dxa"/>
        <w:jc w:val="center"/>
        <w:tblLayout w:type="fixed"/>
        <w:tblCellMar>
          <w:top w:w="0" w:type="dxa"/>
          <w:left w:w="0" w:type="dxa"/>
          <w:bottom w:w="0" w:type="dxa"/>
          <w:right w:w="0" w:type="dxa"/>
        </w:tblCellMar>
      </w:tblPr>
      <w:tblGrid>
        <w:gridCol w:w="1908"/>
        <w:gridCol w:w="900"/>
        <w:gridCol w:w="1080"/>
        <w:gridCol w:w="528"/>
        <w:gridCol w:w="732"/>
        <w:gridCol w:w="976"/>
        <w:gridCol w:w="284"/>
        <w:gridCol w:w="900"/>
        <w:gridCol w:w="1620"/>
      </w:tblGrid>
      <w:tr w14:paraId="3CCFC9E0">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34ECACF">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人名称</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7F23559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D2BB0B6">
        <w:tblPrEx>
          <w:tblCellMar>
            <w:top w:w="0" w:type="dxa"/>
            <w:left w:w="0" w:type="dxa"/>
            <w:bottom w:w="0" w:type="dxa"/>
            <w:right w:w="0" w:type="dxa"/>
          </w:tblCellMar>
        </w:tblPrEx>
        <w:trPr>
          <w:trHeight w:val="567"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2A15AC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注册地址</w:t>
            </w:r>
          </w:p>
        </w:tc>
        <w:tc>
          <w:tcPr>
            <w:tcW w:w="3240" w:type="dxa"/>
            <w:gridSpan w:val="4"/>
            <w:tcBorders>
              <w:top w:val="single" w:color="000000" w:sz="4" w:space="0"/>
              <w:left w:val="single" w:color="000000" w:sz="4" w:space="0"/>
              <w:bottom w:val="single" w:color="000000" w:sz="4" w:space="0"/>
              <w:right w:val="single" w:color="000000" w:sz="4" w:space="0"/>
            </w:tcBorders>
            <w:noWrap w:val="0"/>
            <w:vAlign w:val="center"/>
          </w:tcPr>
          <w:p w14:paraId="6F0C4D3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1A78A3D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邮政编码</w:t>
            </w:r>
          </w:p>
        </w:tc>
        <w:tc>
          <w:tcPr>
            <w:tcW w:w="2804" w:type="dxa"/>
            <w:gridSpan w:val="3"/>
            <w:tcBorders>
              <w:top w:val="single" w:color="000000" w:sz="4" w:space="0"/>
              <w:left w:val="single" w:color="000000" w:sz="2" w:space="0"/>
              <w:bottom w:val="single" w:color="000000" w:sz="4" w:space="0"/>
              <w:right w:val="single" w:color="000000" w:sz="4" w:space="0"/>
            </w:tcBorders>
            <w:noWrap w:val="0"/>
            <w:vAlign w:val="center"/>
          </w:tcPr>
          <w:p w14:paraId="7D0D15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F5B59F3">
        <w:tblPrEx>
          <w:tblCellMar>
            <w:top w:w="0" w:type="dxa"/>
            <w:left w:w="0" w:type="dxa"/>
            <w:bottom w:w="0" w:type="dxa"/>
            <w:right w:w="0" w:type="dxa"/>
          </w:tblCellMar>
        </w:tblPrEx>
        <w:trPr>
          <w:trHeight w:val="510" w:hRule="exact"/>
          <w:jc w:val="center"/>
        </w:trPr>
        <w:tc>
          <w:tcPr>
            <w:tcW w:w="1908" w:type="dxa"/>
            <w:vMerge w:val="restart"/>
            <w:tcBorders>
              <w:top w:val="single" w:color="000000" w:sz="4" w:space="0"/>
              <w:left w:val="single" w:color="000000" w:sz="4" w:space="0"/>
              <w:right w:val="single" w:color="000000" w:sz="4" w:space="0"/>
            </w:tcBorders>
            <w:noWrap w:val="0"/>
            <w:vAlign w:val="center"/>
          </w:tcPr>
          <w:p w14:paraId="4CCD435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联系方式</w:t>
            </w:r>
          </w:p>
        </w:tc>
        <w:tc>
          <w:tcPr>
            <w:tcW w:w="900" w:type="dxa"/>
            <w:tcBorders>
              <w:top w:val="single" w:color="000000" w:sz="4" w:space="0"/>
              <w:left w:val="single" w:color="000000" w:sz="4" w:space="0"/>
              <w:bottom w:val="single" w:color="000000" w:sz="2" w:space="0"/>
              <w:right w:val="single" w:color="000000" w:sz="4" w:space="0"/>
            </w:tcBorders>
            <w:noWrap w:val="0"/>
            <w:vAlign w:val="center"/>
          </w:tcPr>
          <w:p w14:paraId="178B69B6">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联系人</w:t>
            </w:r>
          </w:p>
        </w:tc>
        <w:tc>
          <w:tcPr>
            <w:tcW w:w="2340" w:type="dxa"/>
            <w:gridSpan w:val="3"/>
            <w:tcBorders>
              <w:top w:val="single" w:color="000000" w:sz="4" w:space="0"/>
              <w:left w:val="single" w:color="000000" w:sz="4" w:space="0"/>
              <w:bottom w:val="single" w:color="000000" w:sz="2" w:space="0"/>
              <w:right w:val="single" w:color="000000" w:sz="4" w:space="0"/>
            </w:tcBorders>
            <w:noWrap w:val="0"/>
            <w:vAlign w:val="center"/>
          </w:tcPr>
          <w:p w14:paraId="78B3009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4" w:space="0"/>
              <w:left w:val="single" w:color="000000" w:sz="4" w:space="0"/>
              <w:bottom w:val="single" w:color="000000" w:sz="2" w:space="0"/>
              <w:right w:val="single" w:color="000000" w:sz="2" w:space="0"/>
            </w:tcBorders>
            <w:noWrap w:val="0"/>
            <w:vAlign w:val="center"/>
          </w:tcPr>
          <w:p w14:paraId="123592AA">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 话</w:t>
            </w:r>
          </w:p>
        </w:tc>
        <w:tc>
          <w:tcPr>
            <w:tcW w:w="2804" w:type="dxa"/>
            <w:gridSpan w:val="3"/>
            <w:tcBorders>
              <w:top w:val="single" w:color="000000" w:sz="4" w:space="0"/>
              <w:left w:val="single" w:color="000000" w:sz="2" w:space="0"/>
              <w:bottom w:val="single" w:color="000000" w:sz="2" w:space="0"/>
              <w:right w:val="single" w:color="000000" w:sz="4" w:space="0"/>
            </w:tcBorders>
            <w:noWrap w:val="0"/>
            <w:vAlign w:val="center"/>
          </w:tcPr>
          <w:p w14:paraId="046D9E3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CEFC16C">
        <w:tblPrEx>
          <w:tblCellMar>
            <w:top w:w="0" w:type="dxa"/>
            <w:left w:w="0" w:type="dxa"/>
            <w:bottom w:w="0" w:type="dxa"/>
            <w:right w:w="0" w:type="dxa"/>
          </w:tblCellMar>
        </w:tblPrEx>
        <w:trPr>
          <w:trHeight w:val="508" w:hRule="exact"/>
          <w:jc w:val="center"/>
        </w:trPr>
        <w:tc>
          <w:tcPr>
            <w:tcW w:w="1908" w:type="dxa"/>
            <w:vMerge w:val="continue"/>
            <w:tcBorders>
              <w:left w:val="single" w:color="000000" w:sz="4" w:space="0"/>
              <w:bottom w:val="single" w:color="000000" w:sz="4" w:space="0"/>
              <w:right w:val="single" w:color="000000" w:sz="4" w:space="0"/>
            </w:tcBorders>
            <w:noWrap w:val="0"/>
            <w:vAlign w:val="center"/>
          </w:tcPr>
          <w:p w14:paraId="6D5C38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00" w:type="dxa"/>
            <w:tcBorders>
              <w:top w:val="single" w:color="000000" w:sz="2" w:space="0"/>
              <w:left w:val="single" w:color="000000" w:sz="4" w:space="0"/>
              <w:bottom w:val="single" w:color="000000" w:sz="4" w:space="0"/>
              <w:right w:val="single" w:color="000000" w:sz="4" w:space="0"/>
            </w:tcBorders>
            <w:noWrap w:val="0"/>
            <w:vAlign w:val="center"/>
          </w:tcPr>
          <w:p w14:paraId="0C586424">
            <w:pPr>
              <w:pStyle w:val="27"/>
              <w:keepNext w:val="0"/>
              <w:keepLines w:val="0"/>
              <w:pageBreakBefore w:val="0"/>
              <w:widowControl w:val="0"/>
              <w:tabs>
                <w:tab w:val="left" w:pos="561"/>
              </w:tabs>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传</w:t>
            </w:r>
            <w:r>
              <w:rPr>
                <w:rFonts w:hint="eastAsia" w:ascii="宋体" w:hAnsi="宋体" w:eastAsia="宋体" w:cs="宋体"/>
                <w:color w:val="auto"/>
                <w:spacing w:val="0"/>
                <w:w w:val="100"/>
                <w:sz w:val="21"/>
                <w:szCs w:val="21"/>
                <w:highlight w:val="none"/>
              </w:rPr>
              <w:tab/>
            </w:r>
            <w:r>
              <w:rPr>
                <w:rFonts w:hint="eastAsia" w:ascii="宋体" w:hAnsi="宋体" w:eastAsia="宋体" w:cs="宋体"/>
                <w:color w:val="auto"/>
                <w:spacing w:val="0"/>
                <w:w w:val="100"/>
                <w:sz w:val="21"/>
                <w:szCs w:val="21"/>
                <w:highlight w:val="none"/>
              </w:rPr>
              <w:t>真</w:t>
            </w:r>
          </w:p>
        </w:tc>
        <w:tc>
          <w:tcPr>
            <w:tcW w:w="2340" w:type="dxa"/>
            <w:gridSpan w:val="3"/>
            <w:tcBorders>
              <w:top w:val="single" w:color="000000" w:sz="2" w:space="0"/>
              <w:left w:val="single" w:color="000000" w:sz="4" w:space="0"/>
              <w:bottom w:val="single" w:color="000000" w:sz="4" w:space="0"/>
              <w:right w:val="single" w:color="000000" w:sz="4" w:space="0"/>
            </w:tcBorders>
            <w:noWrap w:val="0"/>
            <w:vAlign w:val="center"/>
          </w:tcPr>
          <w:p w14:paraId="58ABCA5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976" w:type="dxa"/>
            <w:tcBorders>
              <w:top w:val="single" w:color="000000" w:sz="2" w:space="0"/>
              <w:left w:val="single" w:color="000000" w:sz="4" w:space="0"/>
              <w:bottom w:val="single" w:color="000000" w:sz="4" w:space="0"/>
              <w:right w:val="single" w:color="000000" w:sz="2" w:space="0"/>
            </w:tcBorders>
            <w:noWrap w:val="0"/>
            <w:vAlign w:val="center"/>
          </w:tcPr>
          <w:p w14:paraId="2669F35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电子邮件</w:t>
            </w:r>
          </w:p>
        </w:tc>
        <w:tc>
          <w:tcPr>
            <w:tcW w:w="2804" w:type="dxa"/>
            <w:gridSpan w:val="3"/>
            <w:tcBorders>
              <w:top w:val="single" w:color="000000" w:sz="2" w:space="0"/>
              <w:left w:val="single" w:color="000000" w:sz="2" w:space="0"/>
              <w:bottom w:val="single" w:color="000000" w:sz="4" w:space="0"/>
              <w:right w:val="single" w:color="000000" w:sz="4" w:space="0"/>
            </w:tcBorders>
            <w:noWrap w:val="0"/>
            <w:vAlign w:val="center"/>
          </w:tcPr>
          <w:p w14:paraId="38FBEFA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36172E28">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72FE4A9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法定代表人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FCE4E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09B86AA3">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6160BD1B">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59B211B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6212E8B7">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AF7AC6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9311287">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1AC6AFB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技术负责人</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2B8C5FE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姓名</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1C55804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14:paraId="44C8741D">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技术职称</w:t>
            </w:r>
          </w:p>
        </w:tc>
        <w:tc>
          <w:tcPr>
            <w:tcW w:w="976" w:type="dxa"/>
            <w:tcBorders>
              <w:top w:val="single" w:color="000000" w:sz="4" w:space="0"/>
              <w:left w:val="single" w:color="000000" w:sz="4" w:space="0"/>
              <w:bottom w:val="single" w:color="000000" w:sz="4" w:space="0"/>
              <w:right w:val="single" w:color="000000" w:sz="2" w:space="0"/>
            </w:tcBorders>
            <w:noWrap w:val="0"/>
            <w:vAlign w:val="center"/>
          </w:tcPr>
          <w:p w14:paraId="73E5012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184" w:type="dxa"/>
            <w:gridSpan w:val="2"/>
            <w:tcBorders>
              <w:top w:val="single" w:color="000000" w:sz="4" w:space="0"/>
              <w:left w:val="single" w:color="000000" w:sz="2" w:space="0"/>
              <w:bottom w:val="single" w:color="000000" w:sz="4" w:space="0"/>
              <w:right w:val="single" w:color="000000" w:sz="4" w:space="0"/>
            </w:tcBorders>
            <w:noWrap w:val="0"/>
            <w:vAlign w:val="center"/>
          </w:tcPr>
          <w:p w14:paraId="77203E9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电话</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42731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5B1E636F">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2EA07E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营业执照号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6363D756">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040" w:type="dxa"/>
            <w:gridSpan w:val="6"/>
            <w:tcBorders>
              <w:top w:val="single" w:color="000000" w:sz="4" w:space="0"/>
              <w:left w:val="single" w:color="000000" w:sz="4" w:space="0"/>
              <w:bottom w:val="single" w:color="000000" w:sz="4" w:space="0"/>
              <w:right w:val="single" w:color="000000" w:sz="4" w:space="0"/>
            </w:tcBorders>
            <w:noWrap w:val="0"/>
            <w:vAlign w:val="center"/>
          </w:tcPr>
          <w:p w14:paraId="21E29565">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员工总人数：</w:t>
            </w:r>
          </w:p>
        </w:tc>
      </w:tr>
      <w:tr w14:paraId="39F507E3">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0C20D239">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企业资质等级</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548E1C21">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restart"/>
            <w:tcBorders>
              <w:top w:val="single" w:color="000000" w:sz="4" w:space="0"/>
              <w:left w:val="single" w:color="000000" w:sz="4" w:space="0"/>
              <w:right w:val="single" w:color="000000" w:sz="4" w:space="0"/>
            </w:tcBorders>
            <w:noWrap w:val="0"/>
            <w:vAlign w:val="center"/>
          </w:tcPr>
          <w:p w14:paraId="213C022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2212AF13">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02FF1C1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p w14:paraId="45468C0C">
            <w:pPr>
              <w:pStyle w:val="27"/>
              <w:keepNext w:val="0"/>
              <w:keepLines w:val="0"/>
              <w:pageBreakBefore w:val="0"/>
              <w:widowControl w:val="0"/>
              <w:kinsoku/>
              <w:wordWrap/>
              <w:overflowPunct/>
              <w:topLinePunct w:val="0"/>
              <w:bidi w:val="0"/>
              <w:snapToGrid/>
              <w:spacing w:line="240" w:lineRule="auto"/>
              <w:ind w:left="0" w:right="126" w:hanging="15"/>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其 中</w:t>
            </w: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B11D272">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项目经理</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43A26AE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786DBF9">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2" w:space="0"/>
              <w:right w:val="single" w:color="000000" w:sz="4" w:space="0"/>
            </w:tcBorders>
            <w:noWrap w:val="0"/>
            <w:vAlign w:val="center"/>
          </w:tcPr>
          <w:p w14:paraId="3758D12C">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注册资本</w:t>
            </w:r>
          </w:p>
        </w:tc>
        <w:tc>
          <w:tcPr>
            <w:tcW w:w="1980" w:type="dxa"/>
            <w:gridSpan w:val="2"/>
            <w:tcBorders>
              <w:top w:val="single" w:color="000000" w:sz="4" w:space="0"/>
              <w:left w:val="single" w:color="000000" w:sz="4" w:space="0"/>
              <w:bottom w:val="single" w:color="000000" w:sz="2" w:space="0"/>
              <w:right w:val="single" w:color="000000" w:sz="4" w:space="0"/>
            </w:tcBorders>
            <w:noWrap w:val="0"/>
            <w:vAlign w:val="center"/>
          </w:tcPr>
          <w:p w14:paraId="5B2E53F8">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434C4647">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2" w:space="0"/>
              <w:right w:val="single" w:color="000000" w:sz="4" w:space="0"/>
            </w:tcBorders>
            <w:noWrap w:val="0"/>
            <w:vAlign w:val="center"/>
          </w:tcPr>
          <w:p w14:paraId="0272880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高级职称人员</w:t>
            </w:r>
          </w:p>
        </w:tc>
        <w:tc>
          <w:tcPr>
            <w:tcW w:w="2520" w:type="dxa"/>
            <w:gridSpan w:val="2"/>
            <w:tcBorders>
              <w:top w:val="single" w:color="000000" w:sz="4" w:space="0"/>
              <w:left w:val="single" w:color="000000" w:sz="4" w:space="0"/>
              <w:bottom w:val="single" w:color="000000" w:sz="2" w:space="0"/>
              <w:right w:val="single" w:color="000000" w:sz="4" w:space="0"/>
            </w:tcBorders>
            <w:noWrap w:val="0"/>
            <w:vAlign w:val="center"/>
          </w:tcPr>
          <w:p w14:paraId="5936ED8C">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1AB1B2F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2" w:space="0"/>
              <w:right w:val="single" w:color="000000" w:sz="4" w:space="0"/>
            </w:tcBorders>
            <w:noWrap w:val="0"/>
            <w:vAlign w:val="center"/>
          </w:tcPr>
          <w:p w14:paraId="424B69F6">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成立日期</w:t>
            </w:r>
          </w:p>
        </w:tc>
        <w:tc>
          <w:tcPr>
            <w:tcW w:w="1980" w:type="dxa"/>
            <w:gridSpan w:val="2"/>
            <w:tcBorders>
              <w:top w:val="single" w:color="000000" w:sz="2" w:space="0"/>
              <w:left w:val="single" w:color="000000" w:sz="4" w:space="0"/>
              <w:bottom w:val="single" w:color="000000" w:sz="2" w:space="0"/>
              <w:right w:val="single" w:color="000000" w:sz="4" w:space="0"/>
            </w:tcBorders>
            <w:noWrap w:val="0"/>
            <w:vAlign w:val="center"/>
          </w:tcPr>
          <w:p w14:paraId="46939EA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06EE492A">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2" w:space="0"/>
              <w:right w:val="single" w:color="000000" w:sz="4" w:space="0"/>
            </w:tcBorders>
            <w:noWrap w:val="0"/>
            <w:vAlign w:val="center"/>
          </w:tcPr>
          <w:p w14:paraId="669084E1">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中级职称人员</w:t>
            </w:r>
          </w:p>
        </w:tc>
        <w:tc>
          <w:tcPr>
            <w:tcW w:w="2520" w:type="dxa"/>
            <w:gridSpan w:val="2"/>
            <w:tcBorders>
              <w:top w:val="single" w:color="000000" w:sz="2" w:space="0"/>
              <w:left w:val="single" w:color="000000" w:sz="4" w:space="0"/>
              <w:bottom w:val="single" w:color="000000" w:sz="2" w:space="0"/>
              <w:right w:val="single" w:color="000000" w:sz="4" w:space="0"/>
            </w:tcBorders>
            <w:noWrap w:val="0"/>
            <w:vAlign w:val="center"/>
          </w:tcPr>
          <w:p w14:paraId="5B5FC1E4">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2754F903">
        <w:tblPrEx>
          <w:tblCellMar>
            <w:top w:w="0" w:type="dxa"/>
            <w:left w:w="0" w:type="dxa"/>
            <w:bottom w:w="0" w:type="dxa"/>
            <w:right w:w="0" w:type="dxa"/>
          </w:tblCellMar>
        </w:tblPrEx>
        <w:trPr>
          <w:trHeight w:val="510" w:hRule="exact"/>
          <w:jc w:val="center"/>
        </w:trPr>
        <w:tc>
          <w:tcPr>
            <w:tcW w:w="1908" w:type="dxa"/>
            <w:tcBorders>
              <w:top w:val="single" w:color="000000" w:sz="2" w:space="0"/>
              <w:left w:val="single" w:color="000000" w:sz="4" w:space="0"/>
              <w:bottom w:val="single" w:color="000000" w:sz="4" w:space="0"/>
              <w:right w:val="single" w:color="000000" w:sz="4" w:space="0"/>
            </w:tcBorders>
            <w:noWrap w:val="0"/>
            <w:vAlign w:val="center"/>
          </w:tcPr>
          <w:p w14:paraId="21773D7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基本账户开户银行</w:t>
            </w:r>
          </w:p>
        </w:tc>
        <w:tc>
          <w:tcPr>
            <w:tcW w:w="1980" w:type="dxa"/>
            <w:gridSpan w:val="2"/>
            <w:tcBorders>
              <w:top w:val="single" w:color="000000" w:sz="2" w:space="0"/>
              <w:left w:val="single" w:color="000000" w:sz="4" w:space="0"/>
              <w:bottom w:val="single" w:color="000000" w:sz="4" w:space="0"/>
              <w:right w:val="single" w:color="000000" w:sz="4" w:space="0"/>
            </w:tcBorders>
            <w:noWrap w:val="0"/>
            <w:vAlign w:val="center"/>
          </w:tcPr>
          <w:p w14:paraId="4E799D8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right w:val="single" w:color="000000" w:sz="4" w:space="0"/>
            </w:tcBorders>
            <w:noWrap w:val="0"/>
            <w:vAlign w:val="center"/>
          </w:tcPr>
          <w:p w14:paraId="2F898342">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2" w:space="0"/>
              <w:left w:val="single" w:color="000000" w:sz="4" w:space="0"/>
              <w:bottom w:val="single" w:color="000000" w:sz="4" w:space="0"/>
              <w:right w:val="single" w:color="000000" w:sz="4" w:space="0"/>
            </w:tcBorders>
            <w:noWrap w:val="0"/>
            <w:vAlign w:val="center"/>
          </w:tcPr>
          <w:p w14:paraId="3D2F2148">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初级职称人员</w:t>
            </w:r>
          </w:p>
        </w:tc>
        <w:tc>
          <w:tcPr>
            <w:tcW w:w="2520" w:type="dxa"/>
            <w:gridSpan w:val="2"/>
            <w:tcBorders>
              <w:top w:val="single" w:color="000000" w:sz="2" w:space="0"/>
              <w:left w:val="single" w:color="000000" w:sz="4" w:space="0"/>
              <w:bottom w:val="single" w:color="000000" w:sz="4" w:space="0"/>
              <w:right w:val="single" w:color="000000" w:sz="4" w:space="0"/>
            </w:tcBorders>
            <w:noWrap w:val="0"/>
            <w:vAlign w:val="center"/>
          </w:tcPr>
          <w:p w14:paraId="3EC6304E">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6C107A31">
        <w:tblPrEx>
          <w:tblCellMar>
            <w:top w:w="0" w:type="dxa"/>
            <w:left w:w="0" w:type="dxa"/>
            <w:bottom w:w="0" w:type="dxa"/>
            <w:right w:w="0" w:type="dxa"/>
          </w:tblCellMar>
        </w:tblPrEx>
        <w:trPr>
          <w:trHeight w:val="510"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6EFAA5A0">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基本账户银行账号</w:t>
            </w:r>
          </w:p>
        </w:tc>
        <w:tc>
          <w:tcPr>
            <w:tcW w:w="1980" w:type="dxa"/>
            <w:gridSpan w:val="2"/>
            <w:tcBorders>
              <w:top w:val="single" w:color="000000" w:sz="4" w:space="0"/>
              <w:left w:val="single" w:color="000000" w:sz="4" w:space="0"/>
              <w:bottom w:val="single" w:color="000000" w:sz="4" w:space="0"/>
              <w:right w:val="single" w:color="000000" w:sz="4" w:space="0"/>
            </w:tcBorders>
            <w:noWrap w:val="0"/>
            <w:vAlign w:val="center"/>
          </w:tcPr>
          <w:p w14:paraId="011F0A10">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528" w:type="dxa"/>
            <w:vMerge w:val="continue"/>
            <w:tcBorders>
              <w:left w:val="single" w:color="000000" w:sz="4" w:space="0"/>
              <w:bottom w:val="single" w:color="000000" w:sz="4" w:space="0"/>
              <w:right w:val="single" w:color="000000" w:sz="4" w:space="0"/>
            </w:tcBorders>
            <w:noWrap w:val="0"/>
            <w:vAlign w:val="center"/>
          </w:tcPr>
          <w:p w14:paraId="56BBBE0B">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c>
          <w:tcPr>
            <w:tcW w:w="1992" w:type="dxa"/>
            <w:gridSpan w:val="3"/>
            <w:tcBorders>
              <w:top w:val="single" w:color="000000" w:sz="4" w:space="0"/>
              <w:left w:val="single" w:color="000000" w:sz="4" w:space="0"/>
              <w:bottom w:val="single" w:color="000000" w:sz="4" w:space="0"/>
              <w:right w:val="single" w:color="000000" w:sz="4" w:space="0"/>
            </w:tcBorders>
            <w:noWrap w:val="0"/>
            <w:vAlign w:val="center"/>
          </w:tcPr>
          <w:p w14:paraId="766877FE">
            <w:pPr>
              <w:pStyle w:val="27"/>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技工</w:t>
            </w:r>
          </w:p>
        </w:tc>
        <w:tc>
          <w:tcPr>
            <w:tcW w:w="2520" w:type="dxa"/>
            <w:gridSpan w:val="2"/>
            <w:tcBorders>
              <w:top w:val="single" w:color="000000" w:sz="4" w:space="0"/>
              <w:left w:val="single" w:color="000000" w:sz="4" w:space="0"/>
              <w:bottom w:val="single" w:color="000000" w:sz="4" w:space="0"/>
              <w:right w:val="single" w:color="000000" w:sz="4" w:space="0"/>
            </w:tcBorders>
            <w:noWrap w:val="0"/>
            <w:vAlign w:val="center"/>
          </w:tcPr>
          <w:p w14:paraId="24829C29">
            <w:pPr>
              <w:keepNext w:val="0"/>
              <w:keepLines w:val="0"/>
              <w:pageBreakBefore w:val="0"/>
              <w:widowControl w:val="0"/>
              <w:kinsoku/>
              <w:wordWrap/>
              <w:overflowPunct/>
              <w:topLinePunct w:val="0"/>
              <w:bidi w:val="0"/>
              <w:snapToGrid/>
              <w:spacing w:line="240" w:lineRule="auto"/>
              <w:ind w:left="0"/>
              <w:jc w:val="center"/>
              <w:textAlignment w:val="auto"/>
              <w:rPr>
                <w:rFonts w:hint="eastAsia" w:ascii="宋体" w:hAnsi="宋体" w:eastAsia="宋体" w:cs="宋体"/>
                <w:color w:val="auto"/>
                <w:spacing w:val="0"/>
                <w:w w:val="100"/>
                <w:sz w:val="21"/>
                <w:szCs w:val="21"/>
                <w:highlight w:val="none"/>
              </w:rPr>
            </w:pPr>
          </w:p>
        </w:tc>
      </w:tr>
      <w:tr w14:paraId="0E52B960">
        <w:tblPrEx>
          <w:tblCellMar>
            <w:top w:w="0" w:type="dxa"/>
            <w:left w:w="0" w:type="dxa"/>
            <w:bottom w:w="0" w:type="dxa"/>
            <w:right w:w="0" w:type="dxa"/>
          </w:tblCellMar>
        </w:tblPrEx>
        <w:trPr>
          <w:trHeight w:val="624"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3D01342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经营范围</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6CC16A0D">
            <w:pPr>
              <w:spacing w:line="240" w:lineRule="auto"/>
              <w:jc w:val="both"/>
              <w:rPr>
                <w:rFonts w:hint="eastAsia" w:ascii="宋体" w:hAnsi="宋体" w:eastAsia="宋体" w:cs="宋体"/>
                <w:color w:val="auto"/>
                <w:spacing w:val="0"/>
                <w:w w:val="100"/>
                <w:sz w:val="21"/>
                <w:szCs w:val="21"/>
                <w:highlight w:val="none"/>
              </w:rPr>
            </w:pPr>
          </w:p>
        </w:tc>
      </w:tr>
      <w:tr w14:paraId="7716F6CC">
        <w:tblPrEx>
          <w:tblCellMar>
            <w:top w:w="0" w:type="dxa"/>
            <w:left w:w="0" w:type="dxa"/>
            <w:bottom w:w="0" w:type="dxa"/>
            <w:right w:w="0" w:type="dxa"/>
          </w:tblCellMar>
        </w:tblPrEx>
        <w:trPr>
          <w:trHeight w:val="3252"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2720813F">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w:t>
            </w:r>
          </w:p>
          <w:p w14:paraId="196008DB">
            <w:pPr>
              <w:pStyle w:val="27"/>
              <w:keepNext w:val="0"/>
              <w:keepLines w:val="0"/>
              <w:pageBreakBefore w:val="0"/>
              <w:widowControl w:val="0"/>
              <w:kinsoku/>
              <w:wordWrap/>
              <w:overflowPunct/>
              <w:topLinePunct w:val="0"/>
              <w:autoSpaceDE w:val="0"/>
              <w:autoSpaceDN w:val="0"/>
              <w:bidi w:val="0"/>
              <w:adjustRightInd w:val="0"/>
              <w:snapToGrid/>
              <w:spacing w:line="240" w:lineRule="auto"/>
              <w:ind w:left="0" w:right="0" w:firstLine="0"/>
              <w:jc w:val="center"/>
              <w:textAlignment w:val="auto"/>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关联企业情况</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3A342706">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人应提供关联企业情况，包括：</w:t>
            </w:r>
          </w:p>
          <w:p w14:paraId="1E4FECC8">
            <w:pPr>
              <w:pStyle w:val="27"/>
              <w:spacing w:line="240" w:lineRule="auto"/>
              <w:ind w:firstLine="9"/>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（1）</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人的所有股东名称及相应股权（出资额）比例：如</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人为上市公司，</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人应提供股权占公司股份总数</w:t>
            </w:r>
            <w:r>
              <w:rPr>
                <w:rFonts w:hint="eastAsia" w:ascii="宋体" w:hAnsi="宋体" w:eastAsia="宋体" w:cs="宋体"/>
                <w:color w:val="auto"/>
                <w:spacing w:val="0"/>
                <w:w w:val="100"/>
                <w:sz w:val="21"/>
                <w:szCs w:val="21"/>
                <w:highlight w:val="none"/>
                <w:u w:val="single"/>
              </w:rPr>
              <w:t xml:space="preserve"> 50 </w:t>
            </w:r>
            <w:r>
              <w:rPr>
                <w:rFonts w:hint="eastAsia" w:ascii="宋体" w:hAnsi="宋体" w:eastAsia="宋体" w:cs="宋体"/>
                <w:color w:val="auto"/>
                <w:spacing w:val="0"/>
                <w:w w:val="100"/>
                <w:sz w:val="21"/>
                <w:szCs w:val="21"/>
                <w:highlight w:val="none"/>
              </w:rPr>
              <w:t>%以上的所有股东名称及相应股权比例；</w:t>
            </w:r>
          </w:p>
          <w:p w14:paraId="6DD4AD71">
            <w:pPr>
              <w:pStyle w:val="27"/>
              <w:spacing w:line="240" w:lineRule="auto"/>
              <w:ind w:firstLine="14"/>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（2）</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人投资（控股）或管理的下属企业名称 、持有股权（出资额）比例；</w:t>
            </w:r>
          </w:p>
          <w:p w14:paraId="4A37002D">
            <w:pPr>
              <w:pStyle w:val="27"/>
              <w:spacing w:line="240" w:lineRule="auto"/>
              <w:jc w:val="both"/>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（3）与</w:t>
            </w:r>
            <w:r>
              <w:rPr>
                <w:rFonts w:hint="eastAsia" w:ascii="宋体" w:hAnsi="宋体" w:eastAsia="宋体" w:cs="宋体"/>
                <w:color w:val="auto"/>
                <w:spacing w:val="0"/>
                <w:w w:val="100"/>
                <w:sz w:val="21"/>
                <w:szCs w:val="21"/>
                <w:highlight w:val="none"/>
                <w:lang w:val="en-US" w:eastAsia="zh-CN"/>
              </w:rPr>
              <w:t>比选申请</w:t>
            </w:r>
            <w:r>
              <w:rPr>
                <w:rFonts w:hint="eastAsia" w:ascii="宋体" w:hAnsi="宋体" w:eastAsia="宋体" w:cs="宋体"/>
                <w:color w:val="auto"/>
                <w:spacing w:val="0"/>
                <w:w w:val="100"/>
                <w:sz w:val="21"/>
                <w:szCs w:val="21"/>
                <w:highlight w:val="none"/>
              </w:rPr>
              <w:t>人单位负责人 （即法定代表人） 为同一人的其他单位名称。</w:t>
            </w:r>
          </w:p>
        </w:tc>
      </w:tr>
      <w:tr w14:paraId="25A78019">
        <w:tblPrEx>
          <w:tblCellMar>
            <w:top w:w="0" w:type="dxa"/>
            <w:left w:w="0" w:type="dxa"/>
            <w:bottom w:w="0" w:type="dxa"/>
            <w:right w:w="0" w:type="dxa"/>
          </w:tblCellMar>
        </w:tblPrEx>
        <w:trPr>
          <w:trHeight w:val="513" w:hRule="exact"/>
          <w:jc w:val="center"/>
        </w:trPr>
        <w:tc>
          <w:tcPr>
            <w:tcW w:w="1908" w:type="dxa"/>
            <w:tcBorders>
              <w:top w:val="single" w:color="000000" w:sz="4" w:space="0"/>
              <w:left w:val="single" w:color="000000" w:sz="4" w:space="0"/>
              <w:bottom w:val="single" w:color="000000" w:sz="4" w:space="0"/>
              <w:right w:val="single" w:color="000000" w:sz="4" w:space="0"/>
            </w:tcBorders>
            <w:noWrap w:val="0"/>
            <w:vAlign w:val="center"/>
          </w:tcPr>
          <w:p w14:paraId="5983016E">
            <w:pPr>
              <w:pStyle w:val="27"/>
              <w:spacing w:before="112" w:line="240" w:lineRule="auto"/>
              <w:ind w:left="18"/>
              <w:jc w:val="center"/>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w w:val="100"/>
                <w:sz w:val="21"/>
                <w:szCs w:val="21"/>
                <w:highlight w:val="none"/>
              </w:rPr>
              <w:t>备注</w:t>
            </w:r>
          </w:p>
        </w:tc>
        <w:tc>
          <w:tcPr>
            <w:tcW w:w="7020" w:type="dxa"/>
            <w:gridSpan w:val="8"/>
            <w:tcBorders>
              <w:top w:val="single" w:color="000000" w:sz="4" w:space="0"/>
              <w:left w:val="single" w:color="000000" w:sz="4" w:space="0"/>
              <w:bottom w:val="single" w:color="000000" w:sz="4" w:space="0"/>
              <w:right w:val="single" w:color="000000" w:sz="4" w:space="0"/>
            </w:tcBorders>
            <w:noWrap w:val="0"/>
            <w:vAlign w:val="center"/>
          </w:tcPr>
          <w:p w14:paraId="4B2CAF2A">
            <w:pPr>
              <w:spacing w:line="240" w:lineRule="auto"/>
              <w:jc w:val="both"/>
              <w:rPr>
                <w:rFonts w:hint="eastAsia" w:ascii="宋体" w:hAnsi="宋体" w:eastAsia="宋体" w:cs="宋体"/>
                <w:color w:val="auto"/>
                <w:spacing w:val="0"/>
                <w:w w:val="100"/>
                <w:sz w:val="21"/>
                <w:szCs w:val="21"/>
                <w:highlight w:val="none"/>
              </w:rPr>
            </w:pPr>
          </w:p>
        </w:tc>
      </w:tr>
    </w:tbl>
    <w:p w14:paraId="7B451F06">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注：（1）本表后应附</w:t>
      </w: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企业营业执照副本、资质证书、安全生产许可证（依法不需要提供的除外），以上所需资料均提供复印件或扫描件放入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3D3D2CFD">
      <w:pPr>
        <w:spacing w:line="360" w:lineRule="auto"/>
        <w:ind w:left="-199" w:leftChars="-95" w:firstLine="417" w:firstLineChars="199"/>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t>（</w:t>
      </w:r>
      <w:r>
        <w:rPr>
          <w:rFonts w:hint="eastAsia" w:ascii="Times New Roman" w:hAnsi="Times New Roman" w:cs="Times New Roman"/>
          <w:color w:val="000000"/>
          <w:szCs w:val="21"/>
          <w:highlight w:val="none"/>
          <w:lang w:val="en-US" w:eastAsia="zh-CN"/>
        </w:rPr>
        <w:t>2</w:t>
      </w:r>
      <w:r>
        <w:rPr>
          <w:rFonts w:ascii="Times New Roman" w:hAnsi="Times New Roman" w:cs="Times New Roman"/>
          <w:color w:val="000000"/>
          <w:szCs w:val="21"/>
          <w:highlight w:val="none"/>
        </w:rPr>
        <w:t>）企业注册地不在四川省行政区域内的省外设计施工企业须提供在有效期内的</w:t>
      </w:r>
      <w:r>
        <w:rPr>
          <w:rFonts w:ascii="Times New Roman" w:hAnsi="Times New Roman" w:cs="Times New Roman"/>
          <w:color w:val="000000"/>
          <w:kern w:val="0"/>
          <w:szCs w:val="21"/>
          <w:highlight w:val="none"/>
        </w:rPr>
        <w:t>四川省住房和城乡建设厅官网已公开的入川信息网页截图</w:t>
      </w:r>
      <w:r>
        <w:rPr>
          <w:rFonts w:ascii="Times New Roman" w:hAnsi="Times New Roman" w:cs="Times New Roman"/>
          <w:color w:val="000000"/>
          <w:szCs w:val="21"/>
          <w:highlight w:val="none"/>
        </w:rPr>
        <w:t>，以上所需资料均提供复印件或扫描件放入</w:t>
      </w:r>
      <w:r>
        <w:rPr>
          <w:rFonts w:hint="eastAsia" w:ascii="Times New Roman" w:hAnsi="Times New Roman" w:cs="Times New Roman"/>
          <w:color w:val="000000"/>
          <w:szCs w:val="21"/>
          <w:highlight w:val="none"/>
        </w:rPr>
        <w:t>比选申请文件</w:t>
      </w:r>
      <w:r>
        <w:rPr>
          <w:rFonts w:ascii="Times New Roman" w:hAnsi="Times New Roman" w:cs="Times New Roman"/>
          <w:color w:val="000000"/>
          <w:szCs w:val="21"/>
          <w:highlight w:val="none"/>
        </w:rPr>
        <w:t>。</w:t>
      </w:r>
    </w:p>
    <w:p w14:paraId="1A9C1CF0">
      <w:pPr>
        <w:spacing w:line="360" w:lineRule="auto"/>
        <w:rPr>
          <w:rFonts w:ascii="Times New Roman" w:hAnsi="Times New Roman" w:cs="Times New Roman"/>
          <w:color w:val="000000"/>
          <w:kern w:val="0"/>
          <w:szCs w:val="21"/>
          <w:highlight w:val="none"/>
        </w:rPr>
      </w:pPr>
    </w:p>
    <w:p w14:paraId="3BBB4C96">
      <w:pPr>
        <w:widowControl/>
        <w:spacing w:line="360" w:lineRule="auto"/>
        <w:jc w:val="left"/>
        <w:rPr>
          <w:rFonts w:ascii="Times New Roman" w:hAnsi="Times New Roman" w:cs="Times New Roman"/>
          <w:color w:val="000000"/>
          <w:kern w:val="0"/>
          <w:szCs w:val="21"/>
          <w:highlight w:val="none"/>
        </w:rPr>
      </w:pPr>
      <w:r>
        <w:rPr>
          <w:rFonts w:ascii="Times New Roman" w:hAnsi="Times New Roman" w:cs="Times New Roman"/>
          <w:color w:val="000000"/>
          <w:kern w:val="0"/>
          <w:szCs w:val="21"/>
          <w:highlight w:val="none"/>
        </w:rPr>
        <w:br w:type="page"/>
      </w:r>
    </w:p>
    <w:p w14:paraId="6A648AC3">
      <w:pPr>
        <w:pStyle w:val="5"/>
        <w:spacing w:before="280" w:after="290"/>
        <w:jc w:val="center"/>
        <w:rPr>
          <w:rFonts w:ascii="Times New Roman" w:hAnsi="Times New Roman"/>
          <w:color w:val="000000"/>
          <w:sz w:val="28"/>
          <w:highlight w:val="none"/>
        </w:rPr>
      </w:pPr>
      <w:r>
        <w:rPr>
          <w:rFonts w:ascii="Times New Roman" w:hAnsi="Times New Roman"/>
          <w:color w:val="000000"/>
          <w:sz w:val="28"/>
          <w:highlight w:val="none"/>
        </w:rPr>
        <w:t>(二)</w:t>
      </w:r>
      <w:r>
        <w:rPr>
          <w:rFonts w:hint="eastAsia" w:ascii="宋体" w:hAnsi="宋体"/>
          <w:color w:val="auto"/>
          <w:sz w:val="28"/>
          <w:szCs w:val="28"/>
          <w:highlight w:val="none"/>
        </w:rPr>
        <w:t>近年类似项目情况表</w:t>
      </w:r>
    </w:p>
    <w:tbl>
      <w:tblPr>
        <w:tblStyle w:val="15"/>
        <w:tblW w:w="51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6"/>
        <w:gridCol w:w="1973"/>
        <w:gridCol w:w="1408"/>
        <w:gridCol w:w="1409"/>
        <w:gridCol w:w="1227"/>
      </w:tblGrid>
      <w:tr w14:paraId="02FB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top w:val="single" w:color="auto" w:sz="4" w:space="0"/>
              <w:left w:val="single" w:color="auto" w:sz="4" w:space="0"/>
            </w:tcBorders>
            <w:noWrap w:val="0"/>
            <w:vAlign w:val="center"/>
          </w:tcPr>
          <w:p w14:paraId="10ED9DCB">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项目或指标</w:t>
            </w:r>
          </w:p>
        </w:tc>
        <w:tc>
          <w:tcPr>
            <w:tcW w:w="1086" w:type="pct"/>
            <w:tcBorders>
              <w:top w:val="single" w:color="auto" w:sz="4" w:space="0"/>
            </w:tcBorders>
            <w:noWrap w:val="0"/>
            <w:vAlign w:val="center"/>
          </w:tcPr>
          <w:p w14:paraId="2C700C0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775" w:type="pct"/>
            <w:tcBorders>
              <w:top w:val="single" w:color="auto" w:sz="4" w:space="0"/>
            </w:tcBorders>
            <w:noWrap w:val="0"/>
            <w:vAlign w:val="center"/>
          </w:tcPr>
          <w:p w14:paraId="6665623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775" w:type="pct"/>
            <w:tcBorders>
              <w:top w:val="single" w:color="auto" w:sz="4" w:space="0"/>
            </w:tcBorders>
            <w:noWrap w:val="0"/>
            <w:vAlign w:val="center"/>
          </w:tcPr>
          <w:p w14:paraId="271B9438">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675" w:type="pct"/>
            <w:tcBorders>
              <w:top w:val="single" w:color="auto" w:sz="4" w:space="0"/>
              <w:right w:val="single" w:color="auto" w:sz="4" w:space="0"/>
            </w:tcBorders>
            <w:noWrap w:val="0"/>
            <w:vAlign w:val="center"/>
          </w:tcPr>
          <w:p w14:paraId="4545D8FD">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r>
      <w:tr w14:paraId="0597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E206BC0">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c>
        <w:tc>
          <w:tcPr>
            <w:tcW w:w="1086" w:type="pct"/>
            <w:noWrap w:val="0"/>
            <w:vAlign w:val="top"/>
          </w:tcPr>
          <w:p w14:paraId="2C84CDD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86908B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2F21EAE5">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0DF43FA6">
            <w:pPr>
              <w:pStyle w:val="28"/>
              <w:spacing w:line="276" w:lineRule="auto"/>
              <w:jc w:val="center"/>
              <w:rPr>
                <w:rFonts w:hint="eastAsia" w:ascii="宋体" w:hAnsi="宋体" w:cs="宋体"/>
                <w:color w:val="auto"/>
                <w:kern w:val="0"/>
                <w:szCs w:val="21"/>
                <w:highlight w:val="none"/>
              </w:rPr>
            </w:pPr>
          </w:p>
        </w:tc>
      </w:tr>
      <w:tr w14:paraId="4677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BCE041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建设地点</w:t>
            </w:r>
          </w:p>
        </w:tc>
        <w:tc>
          <w:tcPr>
            <w:tcW w:w="1086" w:type="pct"/>
            <w:noWrap w:val="0"/>
            <w:vAlign w:val="top"/>
          </w:tcPr>
          <w:p w14:paraId="3BDC693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DB3505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0C8B55C">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1CB2227E">
            <w:pPr>
              <w:pStyle w:val="28"/>
              <w:spacing w:line="276" w:lineRule="auto"/>
              <w:jc w:val="center"/>
              <w:rPr>
                <w:rFonts w:hint="eastAsia" w:ascii="宋体" w:hAnsi="宋体" w:cs="宋体"/>
                <w:color w:val="auto"/>
                <w:kern w:val="0"/>
                <w:szCs w:val="21"/>
                <w:highlight w:val="none"/>
              </w:rPr>
            </w:pPr>
          </w:p>
        </w:tc>
      </w:tr>
      <w:tr w14:paraId="6EDE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0C27C6EE">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标段名称</w:t>
            </w:r>
          </w:p>
        </w:tc>
        <w:tc>
          <w:tcPr>
            <w:tcW w:w="1086" w:type="pct"/>
            <w:noWrap w:val="0"/>
            <w:vAlign w:val="top"/>
          </w:tcPr>
          <w:p w14:paraId="48ED5AB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121DC0E">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8FA11B9">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9BCD346">
            <w:pPr>
              <w:pStyle w:val="28"/>
              <w:spacing w:line="276" w:lineRule="auto"/>
              <w:jc w:val="center"/>
              <w:rPr>
                <w:rFonts w:hint="eastAsia" w:ascii="宋体" w:hAnsi="宋体" w:cs="宋体"/>
                <w:color w:val="auto"/>
                <w:kern w:val="0"/>
                <w:szCs w:val="21"/>
                <w:highlight w:val="none"/>
              </w:rPr>
            </w:pPr>
          </w:p>
        </w:tc>
      </w:tr>
      <w:tr w14:paraId="0BDF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593CF19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工程内容</w:t>
            </w:r>
          </w:p>
        </w:tc>
        <w:tc>
          <w:tcPr>
            <w:tcW w:w="1086" w:type="pct"/>
            <w:noWrap w:val="0"/>
            <w:vAlign w:val="top"/>
          </w:tcPr>
          <w:p w14:paraId="161EAD89">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70EB61F">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5013334">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40FA882E">
            <w:pPr>
              <w:pStyle w:val="28"/>
              <w:spacing w:line="276" w:lineRule="auto"/>
              <w:jc w:val="center"/>
              <w:rPr>
                <w:rFonts w:hint="eastAsia" w:ascii="宋体" w:hAnsi="宋体" w:cs="宋体"/>
                <w:color w:val="auto"/>
                <w:kern w:val="0"/>
                <w:szCs w:val="21"/>
                <w:highlight w:val="none"/>
              </w:rPr>
            </w:pPr>
          </w:p>
        </w:tc>
      </w:tr>
      <w:tr w14:paraId="6C2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C80E38A">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szCs w:val="21"/>
                <w:highlight w:val="none"/>
              </w:rPr>
              <w:t>工程规模</w:t>
            </w:r>
          </w:p>
        </w:tc>
        <w:tc>
          <w:tcPr>
            <w:tcW w:w="1086" w:type="pct"/>
            <w:noWrap w:val="0"/>
            <w:vAlign w:val="top"/>
          </w:tcPr>
          <w:p w14:paraId="1F1F302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344D66F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0297E5AA">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383074AD">
            <w:pPr>
              <w:pStyle w:val="28"/>
              <w:spacing w:line="276" w:lineRule="auto"/>
              <w:jc w:val="center"/>
              <w:rPr>
                <w:rFonts w:hint="eastAsia" w:ascii="宋体" w:hAnsi="宋体" w:cs="宋体"/>
                <w:color w:val="auto"/>
                <w:kern w:val="0"/>
                <w:szCs w:val="21"/>
                <w:highlight w:val="none"/>
              </w:rPr>
            </w:pPr>
          </w:p>
        </w:tc>
      </w:tr>
      <w:tr w14:paraId="0D63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7D0F5205">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合同金额</w:t>
            </w:r>
          </w:p>
        </w:tc>
        <w:tc>
          <w:tcPr>
            <w:tcW w:w="1086" w:type="pct"/>
            <w:noWrap w:val="0"/>
            <w:vAlign w:val="top"/>
          </w:tcPr>
          <w:p w14:paraId="4E899BCD">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6BE2CD81">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1C0A7A3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7C7654BC">
            <w:pPr>
              <w:pStyle w:val="28"/>
              <w:spacing w:line="276" w:lineRule="auto"/>
              <w:jc w:val="center"/>
              <w:rPr>
                <w:rFonts w:hint="eastAsia" w:ascii="宋体" w:hAnsi="宋体" w:cs="宋体"/>
                <w:color w:val="auto"/>
                <w:kern w:val="0"/>
                <w:szCs w:val="21"/>
                <w:highlight w:val="none"/>
              </w:rPr>
            </w:pPr>
          </w:p>
        </w:tc>
      </w:tr>
      <w:tr w14:paraId="6A62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E2794D7">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合同签订时间</w:t>
            </w:r>
          </w:p>
        </w:tc>
        <w:tc>
          <w:tcPr>
            <w:tcW w:w="1086" w:type="pct"/>
            <w:noWrap w:val="0"/>
            <w:vAlign w:val="top"/>
          </w:tcPr>
          <w:p w14:paraId="70326272">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1961D94">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42896CEE">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530554FB">
            <w:pPr>
              <w:pStyle w:val="28"/>
              <w:spacing w:line="276" w:lineRule="auto"/>
              <w:jc w:val="center"/>
              <w:rPr>
                <w:rFonts w:hint="eastAsia" w:ascii="宋体" w:hAnsi="宋体" w:cs="宋体"/>
                <w:color w:val="auto"/>
                <w:kern w:val="0"/>
                <w:szCs w:val="21"/>
                <w:highlight w:val="none"/>
              </w:rPr>
            </w:pPr>
          </w:p>
        </w:tc>
      </w:tr>
      <w:tr w14:paraId="63F0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tcBorders>
            <w:noWrap w:val="0"/>
            <w:vAlign w:val="center"/>
          </w:tcPr>
          <w:p w14:paraId="3C9636FC">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交工时间（如有）</w:t>
            </w:r>
          </w:p>
        </w:tc>
        <w:tc>
          <w:tcPr>
            <w:tcW w:w="1086" w:type="pct"/>
            <w:noWrap w:val="0"/>
            <w:vAlign w:val="top"/>
          </w:tcPr>
          <w:p w14:paraId="4C7CBB9C">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54C5E3E8">
            <w:pPr>
              <w:pStyle w:val="28"/>
              <w:spacing w:line="276" w:lineRule="auto"/>
              <w:jc w:val="center"/>
              <w:rPr>
                <w:rFonts w:hint="eastAsia" w:ascii="宋体" w:hAnsi="宋体" w:cs="宋体"/>
                <w:color w:val="auto"/>
                <w:kern w:val="0"/>
                <w:szCs w:val="21"/>
                <w:highlight w:val="none"/>
              </w:rPr>
            </w:pPr>
          </w:p>
        </w:tc>
        <w:tc>
          <w:tcPr>
            <w:tcW w:w="775" w:type="pct"/>
            <w:noWrap w:val="0"/>
            <w:vAlign w:val="center"/>
          </w:tcPr>
          <w:p w14:paraId="7B1DC341">
            <w:pPr>
              <w:pStyle w:val="28"/>
              <w:spacing w:line="276" w:lineRule="auto"/>
              <w:jc w:val="center"/>
              <w:rPr>
                <w:rFonts w:hint="eastAsia" w:ascii="宋体" w:hAnsi="宋体" w:cs="宋体"/>
                <w:color w:val="auto"/>
                <w:kern w:val="0"/>
                <w:szCs w:val="21"/>
                <w:highlight w:val="none"/>
              </w:rPr>
            </w:pPr>
          </w:p>
        </w:tc>
        <w:tc>
          <w:tcPr>
            <w:tcW w:w="675" w:type="pct"/>
            <w:tcBorders>
              <w:right w:val="single" w:color="auto" w:sz="4" w:space="0"/>
            </w:tcBorders>
            <w:noWrap w:val="0"/>
            <w:vAlign w:val="center"/>
          </w:tcPr>
          <w:p w14:paraId="2B38CCDC">
            <w:pPr>
              <w:pStyle w:val="28"/>
              <w:spacing w:line="276" w:lineRule="auto"/>
              <w:jc w:val="center"/>
              <w:rPr>
                <w:rFonts w:hint="eastAsia" w:ascii="宋体" w:hAnsi="宋体" w:cs="宋体"/>
                <w:color w:val="auto"/>
                <w:kern w:val="0"/>
                <w:szCs w:val="21"/>
                <w:highlight w:val="none"/>
              </w:rPr>
            </w:pPr>
          </w:p>
        </w:tc>
      </w:tr>
      <w:tr w14:paraId="4C9A6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87" w:type="pct"/>
            <w:tcBorders>
              <w:left w:val="single" w:color="auto" w:sz="4" w:space="0"/>
              <w:bottom w:val="single" w:color="auto" w:sz="4" w:space="0"/>
            </w:tcBorders>
            <w:noWrap w:val="0"/>
            <w:vAlign w:val="center"/>
          </w:tcPr>
          <w:p w14:paraId="58ABCCA9">
            <w:pPr>
              <w:pStyle w:val="28"/>
              <w:spacing w:line="276"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发包人单位全称</w:t>
            </w:r>
          </w:p>
        </w:tc>
        <w:tc>
          <w:tcPr>
            <w:tcW w:w="1086" w:type="pct"/>
            <w:tcBorders>
              <w:bottom w:val="single" w:color="auto" w:sz="4" w:space="0"/>
            </w:tcBorders>
            <w:noWrap w:val="0"/>
            <w:vAlign w:val="top"/>
          </w:tcPr>
          <w:p w14:paraId="6A87F77B">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2DD460D">
            <w:pPr>
              <w:pStyle w:val="28"/>
              <w:spacing w:line="276" w:lineRule="auto"/>
              <w:jc w:val="center"/>
              <w:rPr>
                <w:rFonts w:hint="eastAsia" w:ascii="宋体" w:hAnsi="宋体" w:cs="宋体"/>
                <w:color w:val="auto"/>
                <w:kern w:val="0"/>
                <w:szCs w:val="21"/>
                <w:highlight w:val="none"/>
              </w:rPr>
            </w:pPr>
          </w:p>
        </w:tc>
        <w:tc>
          <w:tcPr>
            <w:tcW w:w="775" w:type="pct"/>
            <w:tcBorders>
              <w:bottom w:val="single" w:color="auto" w:sz="4" w:space="0"/>
            </w:tcBorders>
            <w:noWrap w:val="0"/>
            <w:vAlign w:val="center"/>
          </w:tcPr>
          <w:p w14:paraId="789C3299">
            <w:pPr>
              <w:pStyle w:val="28"/>
              <w:spacing w:line="276" w:lineRule="auto"/>
              <w:jc w:val="center"/>
              <w:rPr>
                <w:rFonts w:hint="eastAsia" w:ascii="宋体" w:hAnsi="宋体" w:cs="宋体"/>
                <w:color w:val="auto"/>
                <w:kern w:val="0"/>
                <w:szCs w:val="21"/>
                <w:highlight w:val="none"/>
              </w:rPr>
            </w:pPr>
          </w:p>
        </w:tc>
        <w:tc>
          <w:tcPr>
            <w:tcW w:w="675" w:type="pct"/>
            <w:tcBorders>
              <w:bottom w:val="single" w:color="auto" w:sz="4" w:space="0"/>
              <w:right w:val="single" w:color="auto" w:sz="4" w:space="0"/>
            </w:tcBorders>
            <w:noWrap w:val="0"/>
            <w:vAlign w:val="center"/>
          </w:tcPr>
          <w:p w14:paraId="22466057">
            <w:pPr>
              <w:pStyle w:val="28"/>
              <w:spacing w:line="276" w:lineRule="auto"/>
              <w:jc w:val="center"/>
              <w:rPr>
                <w:rFonts w:hint="eastAsia" w:ascii="宋体" w:hAnsi="宋体" w:cs="宋体"/>
                <w:color w:val="auto"/>
                <w:kern w:val="0"/>
                <w:szCs w:val="21"/>
                <w:highlight w:val="none"/>
              </w:rPr>
            </w:pPr>
          </w:p>
        </w:tc>
      </w:tr>
    </w:tbl>
    <w:p w14:paraId="5D0DB434">
      <w:pPr>
        <w:spacing w:line="360" w:lineRule="auto"/>
        <w:rPr>
          <w:rFonts w:ascii="Times New Roman" w:hAnsi="Times New Roman" w:cs="Times New Roman"/>
          <w:color w:val="000000"/>
          <w:highlight w:val="none"/>
        </w:rPr>
      </w:pPr>
    </w:p>
    <w:p w14:paraId="7CBFF452">
      <w:pPr>
        <w:numPr>
          <w:ilvl w:val="-1"/>
          <w:numId w:val="0"/>
        </w:numPr>
        <w:spacing w:line="360" w:lineRule="auto"/>
        <w:ind w:firstLine="0" w:firstLineChars="0"/>
        <w:rPr>
          <w:rFonts w:hint="eastAsia" w:ascii="宋体" w:hAnsi="宋体" w:eastAsia="宋体" w:cs="宋体"/>
          <w:color w:val="auto"/>
          <w:kern w:val="0"/>
          <w:szCs w:val="21"/>
          <w:highlight w:val="none"/>
          <w:lang w:val="en-US" w:eastAsia="zh-CN"/>
        </w:rPr>
      </w:pPr>
      <w:r>
        <w:rPr>
          <w:rFonts w:ascii="Times New Roman" w:hAnsi="Times New Roman" w:cs="Times New Roman"/>
          <w:color w:val="000000"/>
          <w:szCs w:val="21"/>
          <w:highlight w:val="none"/>
        </w:rPr>
        <w:t>注：</w:t>
      </w:r>
      <w:r>
        <w:rPr>
          <w:rFonts w:hint="eastAsia" w:ascii="宋体" w:hAnsi="宋体" w:eastAsia="宋体" w:cs="宋体"/>
          <w:color w:val="auto"/>
          <w:kern w:val="0"/>
          <w:szCs w:val="21"/>
          <w:highlight w:val="none"/>
          <w:lang w:val="en-US" w:eastAsia="zh-CN"/>
        </w:rPr>
        <w:t>本表包含</w:t>
      </w:r>
      <w:r>
        <w:rPr>
          <w:rFonts w:hint="eastAsia" w:ascii="宋体" w:hAnsi="宋体" w:cs="宋体"/>
          <w:color w:val="auto"/>
          <w:kern w:val="0"/>
          <w:szCs w:val="21"/>
          <w:highlight w:val="none"/>
          <w:lang w:val="en-US" w:eastAsia="zh-CN"/>
        </w:rPr>
        <w:t>比选申请</w:t>
      </w:r>
      <w:r>
        <w:rPr>
          <w:rFonts w:hint="eastAsia" w:ascii="宋体" w:hAnsi="宋体" w:eastAsia="宋体" w:cs="宋体"/>
          <w:color w:val="auto"/>
          <w:kern w:val="0"/>
          <w:szCs w:val="21"/>
          <w:highlight w:val="none"/>
          <w:lang w:val="en-US" w:eastAsia="zh-CN"/>
        </w:rPr>
        <w:t>人所承担类似项目业绩，业绩数量按合同个数计，应在此表之后附合同协议书（必须包含合同封面页和签章页）</w:t>
      </w:r>
      <w:r>
        <w:rPr>
          <w:rFonts w:hint="default" w:ascii="宋体" w:hAnsi="宋体" w:eastAsia="宋体" w:cs="宋体"/>
          <w:color w:val="auto"/>
          <w:kern w:val="0"/>
          <w:szCs w:val="21"/>
          <w:highlight w:val="none"/>
          <w:lang w:val="en-US" w:eastAsia="zh-CN"/>
        </w:rPr>
        <w:t>作为业绩证明材料</w:t>
      </w:r>
      <w:r>
        <w:rPr>
          <w:rFonts w:hint="eastAsia" w:ascii="宋体" w:hAnsi="宋体" w:eastAsia="宋体" w:cs="宋体"/>
          <w:color w:val="auto"/>
          <w:kern w:val="0"/>
          <w:szCs w:val="21"/>
          <w:highlight w:val="none"/>
          <w:lang w:val="en-US" w:eastAsia="zh-CN"/>
        </w:rPr>
        <w:t>，</w:t>
      </w:r>
      <w:r>
        <w:rPr>
          <w:rFonts w:hint="default" w:ascii="宋体" w:hAnsi="宋体" w:eastAsia="宋体" w:cs="宋体"/>
          <w:color w:val="auto"/>
          <w:kern w:val="0"/>
          <w:szCs w:val="21"/>
          <w:highlight w:val="none"/>
          <w:lang w:val="en-US" w:eastAsia="zh-CN"/>
        </w:rPr>
        <w:t>证明材料能清楚反映所完成的</w:t>
      </w:r>
      <w:r>
        <w:rPr>
          <w:rFonts w:hint="eastAsia" w:ascii="宋体" w:hAnsi="宋体" w:eastAsia="宋体" w:cs="宋体"/>
          <w:color w:val="auto"/>
          <w:kern w:val="0"/>
          <w:szCs w:val="21"/>
          <w:highlight w:val="none"/>
          <w:lang w:val="en-US" w:eastAsia="zh-CN"/>
        </w:rPr>
        <w:t>项目</w:t>
      </w:r>
      <w:r>
        <w:rPr>
          <w:rFonts w:hint="default" w:ascii="宋体" w:hAnsi="宋体" w:eastAsia="宋体" w:cs="宋体"/>
          <w:color w:val="auto"/>
          <w:kern w:val="0"/>
          <w:szCs w:val="21"/>
          <w:highlight w:val="none"/>
          <w:lang w:val="en-US" w:eastAsia="zh-CN"/>
        </w:rPr>
        <w:t>内容</w:t>
      </w:r>
      <w:r>
        <w:rPr>
          <w:rFonts w:hint="eastAsia" w:ascii="宋体" w:hAnsi="宋体" w:eastAsia="宋体" w:cs="宋体"/>
          <w:color w:val="auto"/>
          <w:kern w:val="0"/>
          <w:szCs w:val="21"/>
          <w:highlight w:val="none"/>
          <w:lang w:val="en-US" w:eastAsia="zh-CN"/>
        </w:rPr>
        <w:t>、合同价款、签订时间</w:t>
      </w:r>
      <w:r>
        <w:rPr>
          <w:rFonts w:hint="default" w:ascii="宋体" w:hAnsi="宋体" w:eastAsia="宋体" w:cs="宋体"/>
          <w:color w:val="auto"/>
          <w:kern w:val="0"/>
          <w:szCs w:val="21"/>
          <w:highlight w:val="none"/>
          <w:lang w:val="en-US" w:eastAsia="zh-CN"/>
        </w:rPr>
        <w:t>，若证明材料不能清晰反映，则该业绩不予认定</w:t>
      </w:r>
      <w:r>
        <w:rPr>
          <w:rFonts w:hint="eastAsia" w:ascii="宋体" w:hAnsi="宋体" w:eastAsia="宋体" w:cs="宋体"/>
          <w:color w:val="auto"/>
          <w:kern w:val="0"/>
          <w:szCs w:val="21"/>
          <w:highlight w:val="none"/>
          <w:lang w:val="en-US" w:eastAsia="zh-CN"/>
        </w:rPr>
        <w:t>。</w:t>
      </w:r>
    </w:p>
    <w:p w14:paraId="3292090B">
      <w:pPr>
        <w:spacing w:line="360" w:lineRule="auto"/>
        <w:ind w:left="-199" w:leftChars="-95" w:firstLine="420" w:firstLineChars="199"/>
        <w:jc w:val="left"/>
        <w:rPr>
          <w:rFonts w:ascii="Times New Roman" w:hAnsi="Times New Roman" w:cs="Times New Roman"/>
          <w:b/>
          <w:bCs/>
          <w:color w:val="000000"/>
          <w:szCs w:val="21"/>
          <w:highlight w:val="none"/>
        </w:rPr>
      </w:pPr>
    </w:p>
    <w:p w14:paraId="41F50557">
      <w:pPr>
        <w:spacing w:line="360" w:lineRule="auto"/>
        <w:jc w:val="left"/>
        <w:rPr>
          <w:rFonts w:ascii="Times New Roman" w:hAnsi="Times New Roman" w:cs="Times New Roman"/>
          <w:color w:val="000000"/>
          <w:szCs w:val="21"/>
          <w:highlight w:val="none"/>
        </w:rPr>
      </w:pPr>
      <w:r>
        <w:rPr>
          <w:rFonts w:ascii="Times New Roman" w:hAnsi="Times New Roman" w:cs="Times New Roman"/>
          <w:color w:val="000000"/>
          <w:szCs w:val="21"/>
          <w:highlight w:val="none"/>
        </w:rPr>
        <w:br w:type="page"/>
      </w:r>
    </w:p>
    <w:p w14:paraId="35ECE3FD">
      <w:pPr>
        <w:pStyle w:val="21"/>
        <w:rPr>
          <w:rFonts w:ascii="Times New Roman"/>
          <w:highlight w:val="none"/>
        </w:rPr>
      </w:pPr>
    </w:p>
    <w:p w14:paraId="7062A6A6">
      <w:pPr>
        <w:keepNext/>
        <w:keepLines/>
        <w:adjustRightInd w:val="0"/>
        <w:snapToGrid w:val="0"/>
        <w:spacing w:line="360" w:lineRule="auto"/>
        <w:jc w:val="center"/>
        <w:rPr>
          <w:rFonts w:hint="eastAsia" w:ascii="宋体" w:hAnsi="宋体"/>
          <w:b/>
          <w:bCs/>
          <w:color w:val="auto"/>
          <w:sz w:val="28"/>
          <w:szCs w:val="28"/>
          <w:highlight w:val="none"/>
        </w:rPr>
      </w:pPr>
      <w:r>
        <w:rPr>
          <w:rFonts w:hint="eastAsia" w:hAnsi="宋体" w:cs="宋体"/>
          <w:b/>
          <w:color w:val="auto"/>
          <w:sz w:val="28"/>
          <w:szCs w:val="28"/>
          <w:highlight w:val="none"/>
          <w:lang w:eastAsia="zh-CN"/>
        </w:rPr>
        <w:t>（</w:t>
      </w:r>
      <w:r>
        <w:rPr>
          <w:rFonts w:hint="eastAsia" w:hAnsi="宋体" w:cs="宋体"/>
          <w:b/>
          <w:color w:val="auto"/>
          <w:sz w:val="28"/>
          <w:szCs w:val="28"/>
          <w:highlight w:val="none"/>
          <w:lang w:val="en-US" w:eastAsia="zh-CN"/>
        </w:rPr>
        <w:t>三</w:t>
      </w:r>
      <w:r>
        <w:rPr>
          <w:rFonts w:hint="eastAsia" w:hAnsi="宋体" w:cs="宋体"/>
          <w:b/>
          <w:color w:val="auto"/>
          <w:sz w:val="28"/>
          <w:szCs w:val="28"/>
          <w:highlight w:val="none"/>
          <w:lang w:eastAsia="zh-CN"/>
        </w:rPr>
        <w:t>）</w:t>
      </w:r>
      <w:r>
        <w:rPr>
          <w:rFonts w:hint="eastAsia" w:ascii="宋体" w:hAnsi="宋体"/>
          <w:b/>
          <w:bCs/>
          <w:color w:val="auto"/>
          <w:sz w:val="28"/>
          <w:szCs w:val="28"/>
          <w:highlight w:val="none"/>
        </w:rPr>
        <w:t>无行贿犯罪的承诺函</w:t>
      </w:r>
    </w:p>
    <w:p w14:paraId="300F8D67">
      <w:pPr>
        <w:spacing w:line="460" w:lineRule="exact"/>
        <w:rPr>
          <w:rFonts w:hint="eastAsia" w:ascii="宋体" w:hAnsi="宋体" w:cs="宋体"/>
          <w:color w:val="auto"/>
          <w:sz w:val="24"/>
          <w:highlight w:val="none"/>
        </w:rPr>
      </w:pPr>
    </w:p>
    <w:p w14:paraId="018E9BC9">
      <w:pPr>
        <w:spacing w:line="360" w:lineRule="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比选人</w:t>
      </w:r>
      <w:r>
        <w:rPr>
          <w:rFonts w:hint="eastAsia" w:ascii="宋体" w:hAnsi="宋体" w:cs="宋体"/>
          <w:color w:val="auto"/>
          <w:szCs w:val="21"/>
          <w:highlight w:val="none"/>
          <w:u w:val="single"/>
        </w:rPr>
        <w:t xml:space="preserve">名称）   </w:t>
      </w:r>
      <w:r>
        <w:rPr>
          <w:rFonts w:hint="eastAsia" w:ascii="宋体" w:hAnsi="宋体" w:cs="宋体"/>
          <w:color w:val="auto"/>
          <w:szCs w:val="21"/>
          <w:highlight w:val="none"/>
        </w:rPr>
        <w:t>：</w:t>
      </w:r>
    </w:p>
    <w:p w14:paraId="4AD69AAE">
      <w:pPr>
        <w:spacing w:line="360" w:lineRule="auto"/>
        <w:rPr>
          <w:rFonts w:hint="eastAsia" w:ascii="宋体" w:hAnsi="宋体" w:cs="宋体"/>
          <w:color w:val="auto"/>
          <w:szCs w:val="21"/>
          <w:highlight w:val="none"/>
        </w:rPr>
      </w:pPr>
    </w:p>
    <w:p w14:paraId="5C03DF76">
      <w:pPr>
        <w:spacing w:line="360" w:lineRule="auto"/>
        <w:ind w:firstLine="420" w:firstLineChars="200"/>
        <w:rPr>
          <w:rFonts w:hint="eastAsia" w:ascii="宋体" w:hAnsi="宋体" w:cs="宋体"/>
          <w:color w:val="auto"/>
          <w:highlight w:val="none"/>
        </w:rPr>
      </w:pPr>
      <w:r>
        <w:rPr>
          <w:rFonts w:hint="eastAsia" w:ascii="宋体" w:hAnsi="宋体" w:cs="宋体"/>
          <w:color w:val="auto"/>
          <w:szCs w:val="21"/>
          <w:highlight w:val="none"/>
        </w:rPr>
        <w:t>我单位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比选申请人</w:t>
      </w:r>
      <w:r>
        <w:rPr>
          <w:rFonts w:hint="eastAsia" w:ascii="宋体" w:hAnsi="宋体" w:cs="宋体"/>
          <w:color w:val="auto"/>
          <w:szCs w:val="21"/>
          <w:highlight w:val="none"/>
          <w:u w:val="single"/>
        </w:rPr>
        <w:t xml:space="preserve">名称）   （营业执照或事业单位法人证书编号） </w:t>
      </w: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项目经理</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技术负责人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lang w:val="en-US" w:eastAsia="zh-CN"/>
        </w:rPr>
        <w:t>安全负责人</w:t>
      </w:r>
      <w:r>
        <w:rPr>
          <w:rFonts w:hint="eastAsia" w:ascii="宋体" w:hAnsi="宋体" w:cs="宋体"/>
          <w:color w:val="auto"/>
          <w:szCs w:val="21"/>
          <w:highlight w:val="none"/>
          <w:u w:val="single"/>
        </w:rPr>
        <w:t xml:space="preserve">  （姓名）   （身份证号）  </w:t>
      </w: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日至本项目</w:t>
      </w:r>
      <w:r>
        <w:rPr>
          <w:rFonts w:hint="eastAsia" w:ascii="宋体" w:hAnsi="宋体" w:cs="宋体"/>
          <w:color w:val="auto"/>
          <w:szCs w:val="21"/>
          <w:highlight w:val="none"/>
          <w:lang w:val="en-US" w:eastAsia="zh-CN"/>
        </w:rPr>
        <w:t>比选申请</w:t>
      </w:r>
      <w:r>
        <w:rPr>
          <w:rFonts w:hint="eastAsia" w:ascii="宋体" w:hAnsi="宋体" w:cs="宋体"/>
          <w:color w:val="auto"/>
          <w:szCs w:val="21"/>
          <w:highlight w:val="none"/>
        </w:rPr>
        <w:t>截止日期间，</w:t>
      </w:r>
      <w:r>
        <w:rPr>
          <w:rFonts w:hint="eastAsia" w:ascii="宋体" w:hAnsi="宋体" w:cs="宋体"/>
          <w:color w:val="auto"/>
          <w:szCs w:val="21"/>
          <w:highlight w:val="none"/>
          <w:lang w:val="en-US" w:eastAsia="zh-CN"/>
        </w:rPr>
        <w:t>均</w:t>
      </w:r>
      <w:r>
        <w:rPr>
          <w:rFonts w:hint="eastAsia" w:ascii="宋体" w:hAnsi="宋体" w:cs="宋体"/>
          <w:color w:val="auto"/>
          <w:szCs w:val="21"/>
          <w:highlight w:val="none"/>
        </w:rPr>
        <w:t>没有被人民法院生效判决或裁定认定行贿犯罪（包括行贿罪、单位行贿罪、对单位行贿罪、介绍贿赂罪等）。若在</w:t>
      </w:r>
      <w:r>
        <w:rPr>
          <w:rFonts w:hint="eastAsia" w:ascii="宋体" w:hAnsi="宋体" w:cs="宋体"/>
          <w:color w:val="auto"/>
          <w:szCs w:val="21"/>
          <w:highlight w:val="none"/>
          <w:lang w:eastAsia="zh-CN"/>
        </w:rPr>
        <w:t>中选</w:t>
      </w:r>
      <w:r>
        <w:rPr>
          <w:rFonts w:hint="eastAsia" w:ascii="宋体" w:hAnsi="宋体" w:cs="宋体"/>
          <w:color w:val="auto"/>
          <w:szCs w:val="21"/>
          <w:highlight w:val="none"/>
        </w:rPr>
        <w:t>合同签订之前发现我单位或法定代表人</w:t>
      </w:r>
      <w:r>
        <w:rPr>
          <w:rFonts w:hint="eastAsia" w:ascii="宋体" w:hAnsi="宋体" w:cs="宋体"/>
          <w:color w:val="auto"/>
          <w:szCs w:val="21"/>
          <w:highlight w:val="none"/>
          <w:lang w:val="en-US" w:eastAsia="zh-CN"/>
        </w:rPr>
        <w:t>或项目经理或技术负责人或安全负责人</w:t>
      </w:r>
      <w:r>
        <w:rPr>
          <w:rFonts w:hint="eastAsia" w:ascii="宋体" w:hAnsi="宋体" w:cs="宋体"/>
          <w:color w:val="auto"/>
          <w:szCs w:val="21"/>
          <w:highlight w:val="none"/>
        </w:rPr>
        <w:t>在上述期间存在行犯贿罪的，</w:t>
      </w:r>
      <w:r>
        <w:rPr>
          <w:rFonts w:hint="eastAsia" w:ascii="宋体" w:hAnsi="宋体" w:cs="宋体"/>
          <w:color w:val="auto"/>
          <w:highlight w:val="none"/>
        </w:rPr>
        <w:t>可取消我单位</w:t>
      </w:r>
      <w:r>
        <w:rPr>
          <w:rFonts w:hint="eastAsia" w:ascii="宋体" w:hAnsi="宋体" w:cs="宋体"/>
          <w:color w:val="auto"/>
          <w:highlight w:val="none"/>
          <w:lang w:eastAsia="zh-CN"/>
        </w:rPr>
        <w:t>中选</w:t>
      </w:r>
      <w:r>
        <w:rPr>
          <w:rFonts w:hint="eastAsia" w:ascii="宋体" w:hAnsi="宋体" w:cs="宋体"/>
          <w:color w:val="auto"/>
          <w:highlight w:val="none"/>
        </w:rPr>
        <w:t>候选人或</w:t>
      </w:r>
      <w:r>
        <w:rPr>
          <w:rFonts w:hint="eastAsia" w:ascii="宋体" w:hAnsi="宋体" w:cs="宋体"/>
          <w:color w:val="auto"/>
          <w:highlight w:val="none"/>
          <w:lang w:eastAsia="zh-CN"/>
        </w:rPr>
        <w:t>中选</w:t>
      </w:r>
      <w:r>
        <w:rPr>
          <w:rFonts w:hint="eastAsia" w:ascii="宋体" w:hAnsi="宋体" w:cs="宋体"/>
          <w:color w:val="auto"/>
          <w:highlight w:val="none"/>
        </w:rPr>
        <w:t>人资格。若在合同执行期间</w:t>
      </w:r>
      <w:r>
        <w:rPr>
          <w:rFonts w:hint="eastAsia" w:ascii="宋体" w:hAnsi="宋体" w:cs="宋体"/>
          <w:color w:val="auto"/>
          <w:szCs w:val="21"/>
          <w:highlight w:val="none"/>
        </w:rPr>
        <w:t>发现我单位或法定代表人在上述期间存在行贿犯罪</w:t>
      </w:r>
      <w:r>
        <w:rPr>
          <w:rFonts w:hint="eastAsia" w:ascii="宋体" w:hAnsi="宋体" w:cs="宋体"/>
          <w:color w:val="auto"/>
          <w:highlight w:val="none"/>
        </w:rPr>
        <w:t>的，</w:t>
      </w:r>
      <w:r>
        <w:rPr>
          <w:rFonts w:hint="eastAsia" w:ascii="宋体" w:hAnsi="宋体" w:cs="宋体"/>
          <w:color w:val="auto"/>
          <w:highlight w:val="none"/>
          <w:lang w:eastAsia="zh-CN"/>
        </w:rPr>
        <w:t>可从合同款或履约保证金中扣除签约合同价的</w:t>
      </w:r>
      <w:r>
        <w:rPr>
          <w:rFonts w:hint="eastAsia" w:ascii="宋体" w:hAnsi="宋体" w:cs="宋体"/>
          <w:color w:val="auto"/>
          <w:highlight w:val="none"/>
          <w:lang w:val="en-US" w:eastAsia="zh-CN"/>
        </w:rPr>
        <w:t>1</w:t>
      </w:r>
      <w:r>
        <w:rPr>
          <w:rFonts w:hint="eastAsia" w:ascii="宋体" w:hAnsi="宋体" w:cs="宋体"/>
          <w:color w:val="auto"/>
          <w:highlight w:val="none"/>
          <w:lang w:eastAsia="zh-CN"/>
        </w:rPr>
        <w:t>%作为违约金</w:t>
      </w:r>
      <w:r>
        <w:rPr>
          <w:rFonts w:hint="eastAsia" w:ascii="宋体" w:hAnsi="宋体" w:cs="宋体"/>
          <w:color w:val="auto"/>
          <w:highlight w:val="none"/>
        </w:rPr>
        <w:t>。</w:t>
      </w:r>
    </w:p>
    <w:p w14:paraId="2F89086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特此承诺。</w:t>
      </w:r>
    </w:p>
    <w:p w14:paraId="56D86C1F">
      <w:pPr>
        <w:spacing w:line="360" w:lineRule="auto"/>
        <w:ind w:firstLine="420" w:firstLineChars="200"/>
        <w:rPr>
          <w:rFonts w:hint="eastAsia" w:ascii="宋体" w:hAnsi="宋体" w:cs="宋体"/>
          <w:color w:val="auto"/>
          <w:highlight w:val="none"/>
        </w:rPr>
      </w:pPr>
    </w:p>
    <w:p w14:paraId="19C0C8E5">
      <w:pPr>
        <w:spacing w:line="360" w:lineRule="auto"/>
        <w:ind w:firstLine="420" w:firstLineChars="200"/>
        <w:rPr>
          <w:rFonts w:hint="eastAsia" w:ascii="宋体" w:hAnsi="宋体" w:cs="宋体"/>
          <w:color w:val="auto"/>
          <w:highlight w:val="none"/>
        </w:rPr>
      </w:pPr>
    </w:p>
    <w:p w14:paraId="4743E267">
      <w:pPr>
        <w:pStyle w:val="11"/>
        <w:spacing w:line="440" w:lineRule="exact"/>
        <w:ind w:firstLine="2310" w:firstLineChars="1100"/>
        <w:rPr>
          <w:rFonts w:hint="eastAsia" w:hAnsi="宋体" w:cs="宋体"/>
          <w:color w:val="auto"/>
          <w:highlight w:val="none"/>
          <w:u w:val="single"/>
        </w:rPr>
      </w:pPr>
      <w:r>
        <w:rPr>
          <w:rFonts w:hint="eastAsia" w:hAnsi="宋体" w:cs="宋体"/>
          <w:color w:val="auto"/>
          <w:highlight w:val="none"/>
          <w:lang w:eastAsia="zh-CN"/>
        </w:rPr>
        <w:t>比选申请人</w:t>
      </w:r>
      <w:r>
        <w:rPr>
          <w:rFonts w:hint="eastAsia" w:hAnsi="宋体" w:cs="宋体"/>
          <w:color w:val="auto"/>
          <w:highlight w:val="none"/>
        </w:rPr>
        <w:t>：</w:t>
      </w:r>
      <w:r>
        <w:rPr>
          <w:rFonts w:hint="eastAsia" w:hAnsi="宋体" w:cs="宋体"/>
          <w:color w:val="auto"/>
          <w:highlight w:val="none"/>
          <w:u w:val="single"/>
        </w:rPr>
        <w:t xml:space="preserve">                                   （盖单位章）</w:t>
      </w:r>
    </w:p>
    <w:p w14:paraId="3BC3955B">
      <w:pPr>
        <w:spacing w:line="460" w:lineRule="exact"/>
        <w:ind w:firstLine="2310" w:firstLineChars="1100"/>
        <w:rPr>
          <w:rFonts w:hint="eastAsia" w:ascii="宋体" w:hAnsi="宋体" w:cs="宋体"/>
          <w:color w:val="auto"/>
          <w:szCs w:val="21"/>
          <w:highlight w:val="none"/>
          <w:u w:val="single"/>
        </w:rPr>
      </w:pPr>
      <w:r>
        <w:rPr>
          <w:rFonts w:hint="eastAsia" w:ascii="宋体" w:hAnsi="宋体" w:cs="宋体"/>
          <w:color w:val="auto"/>
          <w:szCs w:val="21"/>
          <w:highlight w:val="none"/>
        </w:rPr>
        <w:t>法定代表人或授权的代理人：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（职务、姓名）（签字）</w:t>
      </w:r>
    </w:p>
    <w:p w14:paraId="454AAEE9">
      <w:pPr>
        <w:pStyle w:val="4"/>
        <w:jc w:val="center"/>
        <w:rPr>
          <w:rFonts w:hint="default" w:eastAsia="宋体"/>
          <w:bCs w:val="0"/>
          <w:color w:val="000000"/>
          <w:sz w:val="28"/>
          <w:highlight w:val="none"/>
          <w:lang w:val="en-US" w:eastAsia="zh-CN"/>
        </w:rPr>
      </w:pPr>
      <w:r>
        <w:rPr>
          <w:rFonts w:hint="eastAsia" w:ascii="宋体" w:hAnsi="宋体" w:cs="宋体"/>
          <w:b w:val="0"/>
          <w:bCs w:val="0"/>
          <w:color w:val="auto"/>
          <w:sz w:val="21"/>
          <w:szCs w:val="21"/>
          <w:highlight w:val="none"/>
          <w:u w:val="none"/>
          <w:lang w:val="en-US" w:eastAsia="zh-CN"/>
        </w:rPr>
        <w:t>日期： 年   月  日</w:t>
      </w:r>
      <w:r>
        <w:rPr>
          <w:rFonts w:hint="eastAsia" w:ascii="宋体" w:hAnsi="宋体" w:cs="宋体"/>
          <w:color w:val="auto"/>
          <w:szCs w:val="21"/>
          <w:highlight w:val="none"/>
          <w:u w:val="single"/>
        </w:rPr>
        <w:br w:type="page"/>
      </w:r>
      <w:r>
        <w:rPr>
          <w:rFonts w:hint="eastAsia"/>
          <w:bCs w:val="0"/>
          <w:color w:val="000000"/>
          <w:sz w:val="28"/>
          <w:highlight w:val="none"/>
          <w:lang w:val="en-US" w:eastAsia="zh-CN"/>
        </w:rPr>
        <w:t>六</w:t>
      </w:r>
      <w:r>
        <w:rPr>
          <w:bCs w:val="0"/>
          <w:color w:val="000000"/>
          <w:sz w:val="28"/>
          <w:highlight w:val="none"/>
        </w:rPr>
        <w:t>、</w:t>
      </w:r>
      <w:r>
        <w:rPr>
          <w:rFonts w:hint="eastAsia"/>
          <w:bCs w:val="0"/>
          <w:color w:val="000000"/>
          <w:sz w:val="28"/>
          <w:highlight w:val="none"/>
          <w:lang w:val="en-US" w:eastAsia="zh-CN"/>
        </w:rPr>
        <w:t>施工组织设计</w:t>
      </w:r>
    </w:p>
    <w:p w14:paraId="0A39A24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rPr>
        <w:t>比选申请人</w:t>
      </w:r>
      <w:r>
        <w:rPr>
          <w:rFonts w:ascii="Times New Roman" w:hAnsi="Times New Roman" w:cs="Times New Roman"/>
          <w:color w:val="000000"/>
          <w:szCs w:val="21"/>
          <w:highlight w:val="none"/>
        </w:rPr>
        <w:t xml:space="preserve">应参考“第三章 </w:t>
      </w:r>
      <w:r>
        <w:rPr>
          <w:rFonts w:hint="eastAsia" w:ascii="Times New Roman" w:hAnsi="Times New Roman" w:cs="Times New Roman"/>
          <w:color w:val="000000"/>
          <w:szCs w:val="21"/>
          <w:highlight w:val="none"/>
          <w:lang w:eastAsia="zh-CN"/>
        </w:rPr>
        <w:t>评审</w:t>
      </w:r>
      <w:r>
        <w:rPr>
          <w:rFonts w:ascii="Times New Roman" w:hAnsi="Times New Roman" w:cs="Times New Roman"/>
          <w:color w:val="000000"/>
          <w:szCs w:val="21"/>
          <w:highlight w:val="none"/>
        </w:rPr>
        <w:t>办法”中“</w:t>
      </w:r>
      <w:r>
        <w:rPr>
          <w:rFonts w:hint="eastAsia" w:ascii="Times New Roman" w:hAnsi="Times New Roman" w:cs="Times New Roman"/>
          <w:color w:val="000000"/>
          <w:szCs w:val="21"/>
          <w:highlight w:val="none"/>
          <w:lang w:val="en-US" w:eastAsia="zh-CN"/>
        </w:rPr>
        <w:t>技术部分</w:t>
      </w:r>
      <w:r>
        <w:rPr>
          <w:rFonts w:ascii="Times New Roman" w:hAnsi="Times New Roman" w:cs="Times New Roman"/>
          <w:color w:val="000000"/>
          <w:szCs w:val="21"/>
          <w:highlight w:val="none"/>
        </w:rPr>
        <w:t>评分标准”内容编制项目</w:t>
      </w:r>
      <w:r>
        <w:rPr>
          <w:rFonts w:hint="eastAsia" w:ascii="Times New Roman" w:hAnsi="Times New Roman" w:cs="Times New Roman"/>
          <w:color w:val="000000"/>
          <w:szCs w:val="21"/>
          <w:highlight w:val="none"/>
          <w:lang w:val="en-US" w:eastAsia="zh-CN"/>
        </w:rPr>
        <w:t>施工组织设计</w:t>
      </w:r>
      <w:r>
        <w:rPr>
          <w:rFonts w:ascii="Times New Roman" w:hAnsi="Times New Roman" w:cs="Times New Roman"/>
          <w:color w:val="000000"/>
          <w:szCs w:val="21"/>
          <w:highlight w:val="none"/>
        </w:rPr>
        <w:t>，内容及格式自拟。</w:t>
      </w:r>
    </w:p>
    <w:p w14:paraId="3991389D">
      <w:pPr>
        <w:rPr>
          <w:rFonts w:ascii="Times New Roman" w:hAnsi="Times New Roman" w:cs="Times New Roman"/>
          <w:color w:val="000000"/>
          <w:sz w:val="28"/>
          <w:szCs w:val="28"/>
          <w:highlight w:val="none"/>
        </w:rPr>
      </w:pPr>
    </w:p>
    <w:p w14:paraId="425477DE">
      <w:pPr>
        <w:rPr>
          <w:rFonts w:ascii="Times New Roman" w:hAnsi="Times New Roman" w:cs="Times New Roman"/>
          <w:highlight w:val="none"/>
        </w:rPr>
      </w:pPr>
    </w:p>
    <w:p w14:paraId="74A9326B">
      <w:pPr>
        <w:pStyle w:val="8"/>
        <w:rPr>
          <w:highlight w:val="none"/>
        </w:rPr>
      </w:pPr>
    </w:p>
    <w:p w14:paraId="35EA595B">
      <w:pPr>
        <w:pStyle w:val="20"/>
        <w:ind w:firstLine="440"/>
        <w:rPr>
          <w:rFonts w:ascii="Times New Roman" w:hAnsi="Times New Roman" w:cs="Times New Roman"/>
          <w:highlight w:val="none"/>
        </w:rPr>
      </w:pPr>
    </w:p>
    <w:p w14:paraId="63C556A8">
      <w:pPr>
        <w:rPr>
          <w:rFonts w:ascii="Times New Roman" w:hAnsi="Times New Roman" w:cs="Times New Roman"/>
          <w:highlight w:val="none"/>
        </w:rPr>
      </w:pPr>
    </w:p>
    <w:p w14:paraId="626249FE">
      <w:pPr>
        <w:pStyle w:val="8"/>
        <w:rPr>
          <w:highlight w:val="none"/>
        </w:rPr>
      </w:pPr>
    </w:p>
    <w:p w14:paraId="2B75130E">
      <w:pPr>
        <w:pStyle w:val="20"/>
        <w:ind w:firstLine="440"/>
        <w:rPr>
          <w:rFonts w:ascii="Times New Roman" w:hAnsi="Times New Roman" w:cs="Times New Roman"/>
          <w:highlight w:val="none"/>
        </w:rPr>
      </w:pPr>
    </w:p>
    <w:p w14:paraId="5D259E13">
      <w:pPr>
        <w:rPr>
          <w:rFonts w:ascii="Times New Roman" w:hAnsi="Times New Roman" w:cs="Times New Roman"/>
          <w:highlight w:val="none"/>
        </w:rPr>
      </w:pPr>
    </w:p>
    <w:p w14:paraId="6B36A52A">
      <w:pPr>
        <w:pStyle w:val="8"/>
        <w:rPr>
          <w:highlight w:val="none"/>
        </w:rPr>
      </w:pPr>
    </w:p>
    <w:p w14:paraId="3FEA8C38">
      <w:pPr>
        <w:pStyle w:val="20"/>
        <w:ind w:firstLine="440"/>
        <w:rPr>
          <w:rFonts w:ascii="Times New Roman" w:hAnsi="Times New Roman" w:cs="Times New Roman"/>
          <w:highlight w:val="none"/>
        </w:rPr>
      </w:pPr>
    </w:p>
    <w:p w14:paraId="6827715B">
      <w:pPr>
        <w:rPr>
          <w:rFonts w:ascii="Times New Roman" w:hAnsi="Times New Roman" w:cs="Times New Roman"/>
          <w:highlight w:val="none"/>
        </w:rPr>
      </w:pPr>
    </w:p>
    <w:p w14:paraId="6C40FA46">
      <w:pPr>
        <w:pStyle w:val="8"/>
        <w:rPr>
          <w:highlight w:val="none"/>
        </w:rPr>
      </w:pPr>
    </w:p>
    <w:p w14:paraId="22F6833A">
      <w:pPr>
        <w:pStyle w:val="20"/>
        <w:ind w:firstLine="440"/>
        <w:rPr>
          <w:rFonts w:ascii="Times New Roman" w:hAnsi="Times New Roman" w:cs="Times New Roman"/>
          <w:highlight w:val="none"/>
        </w:rPr>
      </w:pPr>
    </w:p>
    <w:p w14:paraId="637FAA49">
      <w:pPr>
        <w:rPr>
          <w:rFonts w:ascii="Times New Roman" w:hAnsi="Times New Roman" w:cs="Times New Roman"/>
          <w:highlight w:val="none"/>
        </w:rPr>
      </w:pPr>
    </w:p>
    <w:p w14:paraId="60CF7BCC">
      <w:pPr>
        <w:pStyle w:val="8"/>
        <w:rPr>
          <w:highlight w:val="none"/>
        </w:rPr>
      </w:pPr>
    </w:p>
    <w:p w14:paraId="5A3C11A1">
      <w:pPr>
        <w:pStyle w:val="20"/>
        <w:ind w:firstLine="440"/>
        <w:rPr>
          <w:rFonts w:ascii="Times New Roman" w:hAnsi="Times New Roman" w:cs="Times New Roman"/>
          <w:highlight w:val="none"/>
        </w:rPr>
      </w:pPr>
    </w:p>
    <w:p w14:paraId="00601F08">
      <w:pPr>
        <w:rPr>
          <w:rFonts w:ascii="Times New Roman" w:hAnsi="Times New Roman" w:cs="Times New Roman"/>
          <w:highlight w:val="none"/>
        </w:rPr>
      </w:pPr>
    </w:p>
    <w:p w14:paraId="572C081A">
      <w:pPr>
        <w:pStyle w:val="8"/>
        <w:rPr>
          <w:highlight w:val="none"/>
        </w:rPr>
      </w:pPr>
    </w:p>
    <w:p w14:paraId="6ED54D22">
      <w:pPr>
        <w:pStyle w:val="20"/>
        <w:ind w:firstLine="440"/>
        <w:rPr>
          <w:rFonts w:ascii="Times New Roman" w:hAnsi="Times New Roman" w:cs="Times New Roman"/>
          <w:highlight w:val="none"/>
        </w:rPr>
      </w:pPr>
    </w:p>
    <w:p w14:paraId="173A6324">
      <w:pPr>
        <w:rPr>
          <w:rFonts w:ascii="Times New Roman" w:hAnsi="Times New Roman" w:cs="Times New Roman"/>
          <w:highlight w:val="none"/>
        </w:rPr>
      </w:pPr>
    </w:p>
    <w:p w14:paraId="083C93B7">
      <w:pPr>
        <w:pStyle w:val="8"/>
        <w:rPr>
          <w:highlight w:val="none"/>
        </w:rPr>
      </w:pPr>
    </w:p>
    <w:p w14:paraId="07CC599E">
      <w:pPr>
        <w:pStyle w:val="20"/>
        <w:ind w:firstLine="440"/>
        <w:rPr>
          <w:rFonts w:ascii="Times New Roman" w:hAnsi="Times New Roman" w:cs="Times New Roman"/>
          <w:highlight w:val="none"/>
        </w:rPr>
      </w:pPr>
    </w:p>
    <w:p w14:paraId="1E604DA7">
      <w:pPr>
        <w:rPr>
          <w:rFonts w:ascii="Times New Roman" w:hAnsi="Times New Roman" w:cs="Times New Roman"/>
          <w:highlight w:val="none"/>
        </w:rPr>
      </w:pPr>
    </w:p>
    <w:p w14:paraId="74AD0035">
      <w:pPr>
        <w:pStyle w:val="8"/>
        <w:rPr>
          <w:highlight w:val="none"/>
        </w:rPr>
      </w:pPr>
    </w:p>
    <w:p w14:paraId="19383298">
      <w:pPr>
        <w:pStyle w:val="20"/>
        <w:ind w:firstLine="440"/>
        <w:rPr>
          <w:rFonts w:ascii="Times New Roman" w:hAnsi="Times New Roman" w:cs="Times New Roman"/>
          <w:highlight w:val="none"/>
        </w:rPr>
      </w:pPr>
    </w:p>
    <w:p w14:paraId="1C27C56D">
      <w:pPr>
        <w:rPr>
          <w:rFonts w:ascii="Times New Roman" w:hAnsi="Times New Roman" w:cs="Times New Roman"/>
          <w:highlight w:val="none"/>
        </w:rPr>
      </w:pPr>
    </w:p>
    <w:p w14:paraId="3B91A754">
      <w:pPr>
        <w:pStyle w:val="8"/>
        <w:rPr>
          <w:highlight w:val="none"/>
        </w:rPr>
      </w:pPr>
    </w:p>
    <w:p w14:paraId="1559794F">
      <w:pPr>
        <w:pStyle w:val="20"/>
        <w:ind w:firstLine="440"/>
        <w:rPr>
          <w:rFonts w:ascii="Times New Roman" w:hAnsi="Times New Roman" w:cs="Times New Roman"/>
          <w:highlight w:val="none"/>
        </w:rPr>
      </w:pPr>
    </w:p>
    <w:p w14:paraId="3FA75E3F">
      <w:pPr>
        <w:rPr>
          <w:rFonts w:ascii="Times New Roman" w:hAnsi="Times New Roman" w:cs="Times New Roman"/>
          <w:highlight w:val="none"/>
        </w:rPr>
      </w:pPr>
    </w:p>
    <w:p w14:paraId="55E8A97D">
      <w:pPr>
        <w:pStyle w:val="8"/>
        <w:rPr>
          <w:highlight w:val="none"/>
        </w:rPr>
      </w:pPr>
    </w:p>
    <w:p w14:paraId="246950FB">
      <w:pPr>
        <w:pStyle w:val="20"/>
        <w:ind w:firstLine="440"/>
        <w:rPr>
          <w:rFonts w:ascii="Times New Roman" w:hAnsi="Times New Roman" w:cs="Times New Roman"/>
          <w:highlight w:val="none"/>
        </w:rPr>
      </w:pPr>
    </w:p>
    <w:p w14:paraId="5FE2F332">
      <w:pPr>
        <w:rPr>
          <w:rFonts w:ascii="Times New Roman" w:hAnsi="Times New Roman" w:cs="Times New Roman"/>
          <w:highlight w:val="none"/>
        </w:rPr>
      </w:pPr>
    </w:p>
    <w:p w14:paraId="416BBD56">
      <w:pPr>
        <w:pStyle w:val="8"/>
        <w:rPr>
          <w:highlight w:val="none"/>
        </w:rPr>
      </w:pPr>
    </w:p>
    <w:p w14:paraId="62AFF439">
      <w:pPr>
        <w:rPr>
          <w:rFonts w:ascii="Times New Roman" w:hAnsi="Times New Roman" w:cs="Times New Roman"/>
          <w:highlight w:val="none"/>
        </w:rPr>
      </w:pPr>
    </w:p>
    <w:p w14:paraId="721D6EED">
      <w:pPr>
        <w:pStyle w:val="21"/>
        <w:rPr>
          <w:highlight w:val="none"/>
        </w:rPr>
      </w:pPr>
    </w:p>
    <w:p w14:paraId="3F264DAA">
      <w:pPr>
        <w:pStyle w:val="4"/>
        <w:jc w:val="center"/>
        <w:rPr>
          <w:bCs w:val="0"/>
          <w:color w:val="000000"/>
          <w:sz w:val="28"/>
          <w:szCs w:val="28"/>
          <w:highlight w:val="none"/>
        </w:rPr>
      </w:pPr>
      <w:r>
        <w:rPr>
          <w:rFonts w:hint="eastAsia"/>
          <w:bCs w:val="0"/>
          <w:color w:val="000000"/>
          <w:sz w:val="28"/>
          <w:szCs w:val="28"/>
          <w:highlight w:val="none"/>
          <w:lang w:val="en-US" w:eastAsia="zh-CN"/>
        </w:rPr>
        <w:t>七</w:t>
      </w:r>
      <w:r>
        <w:rPr>
          <w:bCs w:val="0"/>
          <w:color w:val="000000"/>
          <w:sz w:val="28"/>
          <w:szCs w:val="28"/>
          <w:highlight w:val="none"/>
        </w:rPr>
        <w:t>、</w:t>
      </w:r>
      <w:r>
        <w:rPr>
          <w:rFonts w:hint="eastAsia"/>
          <w:bCs w:val="0"/>
          <w:color w:val="000000"/>
          <w:sz w:val="28"/>
          <w:szCs w:val="28"/>
          <w:highlight w:val="none"/>
        </w:rPr>
        <w:t>其它</w:t>
      </w:r>
      <w:r>
        <w:rPr>
          <w:bCs w:val="0"/>
          <w:color w:val="000000"/>
          <w:sz w:val="28"/>
          <w:szCs w:val="28"/>
          <w:highlight w:val="none"/>
        </w:rPr>
        <w:t>资料</w:t>
      </w:r>
    </w:p>
    <w:p w14:paraId="5775582C">
      <w:pPr>
        <w:jc w:val="center"/>
        <w:rPr>
          <w:highlight w:val="none"/>
        </w:rPr>
      </w:pPr>
      <w:r>
        <w:rPr>
          <w:rFonts w:hint="eastAsia"/>
          <w:b/>
          <w:bCs/>
          <w:highlight w:val="none"/>
        </w:rPr>
        <w:t>（以下资料应全部加盖比选申请人单位公章）</w:t>
      </w:r>
    </w:p>
    <w:p w14:paraId="751D28A9">
      <w:pPr>
        <w:pStyle w:val="14"/>
        <w:spacing w:line="240" w:lineRule="auto"/>
        <w:ind w:left="0" w:leftChars="0" w:firstLine="0" w:firstLineChars="0"/>
        <w:rPr>
          <w:rFonts w:hint="eastAsia" w:hAnsi="宋体"/>
          <w:bCs/>
          <w:kern w:val="2"/>
          <w:sz w:val="21"/>
          <w:szCs w:val="21"/>
          <w:highlight w:val="none"/>
        </w:rPr>
      </w:pPr>
      <w:r>
        <w:rPr>
          <w:rFonts w:ascii="Times New Roman" w:hAnsi="Times New Roman" w:cs="Times New Roman"/>
          <w:color w:val="000000"/>
          <w:szCs w:val="21"/>
          <w:highlight w:val="none"/>
        </w:rPr>
        <w:t>1、</w:t>
      </w:r>
      <w:r>
        <w:rPr>
          <w:rFonts w:hint="eastAsia" w:hAnsi="宋体"/>
          <w:bCs/>
          <w:kern w:val="2"/>
          <w:sz w:val="21"/>
          <w:szCs w:val="21"/>
          <w:highlight w:val="none"/>
        </w:rPr>
        <w:t>“在信用中国”网站中比选申请人（单位）查询网页信息资料影印件。查询指引：进入‘信用中国’网站（https://www.creditchina.gov.cn/），在首页点击“信用服务”找到“失信被执行人”进入“中国执行信息公开网”网站（http://zxgk.court.gov.cn/shixin/），在查询栏中输入比选申请人（单位）全称及组织机构代码等信息，输入验证码，点击查询。</w:t>
      </w:r>
    </w:p>
    <w:p w14:paraId="498778B2">
      <w:pPr>
        <w:pStyle w:val="14"/>
        <w:spacing w:line="240" w:lineRule="auto"/>
        <w:ind w:left="0" w:leftChars="0" w:firstLine="0" w:firstLineChars="0"/>
        <w:rPr>
          <w:rFonts w:hint="eastAsia" w:hAnsi="宋体"/>
          <w:bCs/>
          <w:kern w:val="2"/>
          <w:sz w:val="21"/>
          <w:szCs w:val="21"/>
          <w:highlight w:val="none"/>
        </w:rPr>
      </w:pPr>
      <w:r>
        <w:rPr>
          <w:rFonts w:hint="eastAsia" w:hAnsi="宋体"/>
          <w:bCs/>
          <w:kern w:val="2"/>
          <w:sz w:val="21"/>
          <w:szCs w:val="21"/>
          <w:highlight w:val="none"/>
        </w:rPr>
        <w:t>截图示例：</w:t>
      </w:r>
    </w:p>
    <w:p w14:paraId="6F3199A7">
      <w:pPr>
        <w:pStyle w:val="8"/>
        <w:rPr>
          <w:highlight w:val="none"/>
        </w:rPr>
      </w:pPr>
      <w:r>
        <w:rPr>
          <w:rFonts w:ascii="Times New Roman" w:eastAsiaTheme="minorEastAsia"/>
          <w:kern w:val="2"/>
          <w:sz w:val="21"/>
          <w:szCs w:val="21"/>
          <w:highlight w:val="none"/>
        </w:rPr>
        <w:drawing>
          <wp:inline distT="0" distB="0" distL="114300" distR="114300">
            <wp:extent cx="5388610" cy="4038600"/>
            <wp:effectExtent l="0" t="0" r="0" b="0"/>
            <wp:docPr id="2" name="图片 2" descr="C:/Users/admin/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Desktop/图片1.png图片1"/>
                    <pic:cNvPicPr>
                      <a:picLocks noChangeAspect="1"/>
                    </pic:cNvPicPr>
                  </pic:nvPicPr>
                  <pic:blipFill>
                    <a:blip r:embed="rId12"/>
                    <a:srcRect t="1588" b="1282"/>
                    <a:stretch>
                      <a:fillRect/>
                    </a:stretch>
                  </pic:blipFill>
                  <pic:spPr>
                    <a:xfrm>
                      <a:off x="0" y="0"/>
                      <a:ext cx="5388610" cy="4038600"/>
                    </a:xfrm>
                    <a:prstGeom prst="rect">
                      <a:avLst/>
                    </a:prstGeom>
                  </pic:spPr>
                </pic:pic>
              </a:graphicData>
            </a:graphic>
          </wp:inline>
        </w:drawing>
      </w:r>
    </w:p>
    <w:p w14:paraId="7DD7A7AD">
      <w:pPr>
        <w:widowControl/>
        <w:numPr>
          <w:ilvl w:val="255"/>
          <w:numId w:val="0"/>
        </w:numPr>
        <w:spacing w:line="480" w:lineRule="auto"/>
        <w:jc w:val="left"/>
        <w:rPr>
          <w:rFonts w:hint="eastAsia" w:ascii="宋体" w:hAnsi="宋体" w:cs="Times New Roman"/>
          <w:szCs w:val="28"/>
          <w:highlight w:val="none"/>
        </w:rPr>
      </w:pPr>
    </w:p>
    <w:p w14:paraId="32FDF99B">
      <w:pPr>
        <w:widowControl/>
        <w:numPr>
          <w:ilvl w:val="255"/>
          <w:numId w:val="0"/>
        </w:numPr>
        <w:spacing w:line="480" w:lineRule="auto"/>
        <w:jc w:val="left"/>
        <w:rPr>
          <w:rFonts w:hint="eastAsia" w:ascii="宋体" w:hAnsi="宋体" w:cs="Times New Roman"/>
          <w:szCs w:val="28"/>
          <w:highlight w:val="none"/>
        </w:rPr>
      </w:pPr>
    </w:p>
    <w:p w14:paraId="36B3AC75">
      <w:pPr>
        <w:widowControl/>
        <w:numPr>
          <w:ilvl w:val="255"/>
          <w:numId w:val="0"/>
        </w:numPr>
        <w:spacing w:line="480" w:lineRule="auto"/>
        <w:jc w:val="left"/>
        <w:rPr>
          <w:rFonts w:hint="eastAsia" w:ascii="宋体" w:hAnsi="宋体" w:cs="Times New Roman"/>
          <w:szCs w:val="28"/>
          <w:highlight w:val="none"/>
        </w:rPr>
      </w:pPr>
    </w:p>
    <w:p w14:paraId="25486EAC">
      <w:pPr>
        <w:widowControl/>
        <w:numPr>
          <w:ilvl w:val="255"/>
          <w:numId w:val="0"/>
        </w:numPr>
        <w:spacing w:line="480" w:lineRule="auto"/>
        <w:jc w:val="left"/>
        <w:rPr>
          <w:rFonts w:hint="eastAsia" w:ascii="宋体" w:hAnsi="宋体" w:cs="Times New Roman"/>
          <w:szCs w:val="28"/>
          <w:highlight w:val="none"/>
        </w:rPr>
      </w:pPr>
    </w:p>
    <w:p w14:paraId="6E206266">
      <w:pPr>
        <w:widowControl/>
        <w:numPr>
          <w:ilvl w:val="255"/>
          <w:numId w:val="0"/>
        </w:numPr>
        <w:spacing w:line="480" w:lineRule="auto"/>
        <w:jc w:val="left"/>
        <w:rPr>
          <w:rFonts w:hint="eastAsia" w:ascii="宋体" w:hAnsi="宋体" w:cs="Times New Roman"/>
          <w:szCs w:val="28"/>
          <w:highlight w:val="none"/>
        </w:rPr>
      </w:pPr>
    </w:p>
    <w:p w14:paraId="4D1D48B3">
      <w:pPr>
        <w:widowControl/>
        <w:numPr>
          <w:ilvl w:val="255"/>
          <w:numId w:val="0"/>
        </w:numPr>
        <w:spacing w:line="480" w:lineRule="auto"/>
        <w:jc w:val="left"/>
        <w:rPr>
          <w:rFonts w:hint="eastAsia" w:ascii="宋体" w:hAnsi="宋体" w:cs="Times New Roman"/>
          <w:szCs w:val="28"/>
          <w:highlight w:val="none"/>
        </w:rPr>
      </w:pPr>
    </w:p>
    <w:p w14:paraId="03CD7748">
      <w:pPr>
        <w:widowControl/>
        <w:numPr>
          <w:ilvl w:val="255"/>
          <w:numId w:val="0"/>
        </w:numPr>
        <w:spacing w:line="480" w:lineRule="auto"/>
        <w:jc w:val="left"/>
        <w:rPr>
          <w:rFonts w:hint="eastAsia" w:ascii="宋体" w:hAnsi="宋体" w:cs="Times New Roman"/>
          <w:szCs w:val="28"/>
          <w:highlight w:val="none"/>
        </w:rPr>
      </w:pPr>
    </w:p>
    <w:p w14:paraId="3F4A8F15">
      <w:pPr>
        <w:widowControl/>
        <w:numPr>
          <w:ilvl w:val="255"/>
          <w:numId w:val="0"/>
        </w:numPr>
        <w:spacing w:line="480" w:lineRule="auto"/>
        <w:jc w:val="left"/>
        <w:rPr>
          <w:rFonts w:ascii="宋体" w:hAnsi="宋体" w:cs="Times New Roman"/>
          <w:szCs w:val="28"/>
          <w:highlight w:val="none"/>
        </w:rPr>
      </w:pPr>
      <w:r>
        <w:rPr>
          <w:rFonts w:hint="eastAsia" w:ascii="宋体" w:hAnsi="宋体" w:cs="Times New Roman"/>
          <w:szCs w:val="28"/>
          <w:highlight w:val="none"/>
        </w:rPr>
        <w:t>2、国家企业信用信息公示系统</w:t>
      </w:r>
      <w:r>
        <w:rPr>
          <w:rFonts w:hint="eastAsia"/>
          <w:highlight w:val="none"/>
        </w:rPr>
        <w:t>比选申请人</w:t>
      </w:r>
      <w:r>
        <w:rPr>
          <w:rFonts w:hint="eastAsia" w:ascii="宋体" w:hAnsi="宋体" w:cs="Times New Roman"/>
          <w:szCs w:val="28"/>
          <w:highlight w:val="none"/>
        </w:rPr>
        <w:t>（单位）查询结果页截图证明。</w:t>
      </w:r>
    </w:p>
    <w:p w14:paraId="6574C151">
      <w:pPr>
        <w:widowControl/>
        <w:numPr>
          <w:ilvl w:val="255"/>
          <w:numId w:val="0"/>
        </w:numPr>
        <w:jc w:val="left"/>
        <w:rPr>
          <w:rFonts w:ascii="宋体" w:hAnsi="宋体" w:cs="Times New Roman"/>
          <w:szCs w:val="28"/>
          <w:highlight w:val="none"/>
        </w:rPr>
      </w:pPr>
      <w:r>
        <w:rPr>
          <w:rFonts w:hint="eastAsia"/>
          <w:highlight w:val="none"/>
        </w:rPr>
        <w:t>截图示例：</w:t>
      </w:r>
    </w:p>
    <w:p w14:paraId="18B276C2">
      <w:pPr>
        <w:pStyle w:val="8"/>
        <w:numPr>
          <w:ilvl w:val="255"/>
          <w:numId w:val="0"/>
        </w:numPr>
        <w:rPr>
          <w:highlight w:val="none"/>
        </w:rPr>
      </w:pPr>
      <w:r>
        <w:rPr>
          <w:highlight w:val="none"/>
        </w:rPr>
        <w:drawing>
          <wp:inline distT="0" distB="0" distL="0" distR="0">
            <wp:extent cx="5479415" cy="2746375"/>
            <wp:effectExtent l="0" t="0" r="6985" b="15875"/>
            <wp:docPr id="1027" name="图片 2" descr="1680494219492"/>
            <wp:cNvGraphicFramePr/>
            <a:graphic xmlns:a="http://schemas.openxmlformats.org/drawingml/2006/main">
              <a:graphicData uri="http://schemas.openxmlformats.org/drawingml/2006/picture">
                <pic:pic xmlns:pic="http://schemas.openxmlformats.org/drawingml/2006/picture">
                  <pic:nvPicPr>
                    <pic:cNvPr id="1027" name="图片 2" descr="1680494219492"/>
                    <pic:cNvPicPr/>
                  </pic:nvPicPr>
                  <pic:blipFill>
                    <a:blip r:embed="rId13" cstate="print"/>
                    <a:srcRect/>
                    <a:stretch>
                      <a:fillRect/>
                    </a:stretch>
                  </pic:blipFill>
                  <pic:spPr>
                    <a:xfrm>
                      <a:off x="0" y="0"/>
                      <a:ext cx="5479415" cy="2746375"/>
                    </a:xfrm>
                    <a:prstGeom prst="rect">
                      <a:avLst/>
                    </a:prstGeom>
                  </pic:spPr>
                </pic:pic>
              </a:graphicData>
            </a:graphic>
          </wp:inline>
        </w:drawing>
      </w:r>
    </w:p>
    <w:p w14:paraId="5FD78E3A">
      <w:pPr>
        <w:widowControl/>
        <w:spacing w:line="480" w:lineRule="auto"/>
        <w:jc w:val="left"/>
        <w:rPr>
          <w:highlight w:val="none"/>
        </w:rPr>
      </w:pPr>
      <w:r>
        <w:rPr>
          <w:rFonts w:hint="eastAsia" w:ascii="宋体" w:hAnsi="宋体" w:cs="Times New Roman"/>
          <w:szCs w:val="28"/>
          <w:highlight w:val="none"/>
        </w:rPr>
        <w:t>3、比选申请人认为有必要提供的其他资料</w:t>
      </w:r>
      <w:r>
        <w:rPr>
          <w:rFonts w:hint="eastAsia" w:ascii="宋体" w:hAnsi="宋体" w:cs="Times New Roman"/>
          <w:szCs w:val="28"/>
          <w:highlight w:val="none"/>
          <w:lang w:eastAsia="zh-CN"/>
        </w:rPr>
        <w:t>。</w:t>
      </w:r>
    </w:p>
    <w:sectPr>
      <w:headerReference r:id="rId9" w:type="default"/>
      <w:footerReference r:id="rId10" w:type="default"/>
      <w:pgSz w:w="1224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407D">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6C5">
    <w:pPr>
      <w:pStyle w:val="12"/>
      <w:framePr w:wrap="around" w:vAnchor="text" w:hAnchor="margin" w:xAlign="outside" w:y="2"/>
      <w:rPr>
        <w:rStyle w:val="18"/>
      </w:rPr>
    </w:pPr>
    <w:r>
      <w:fldChar w:fldCharType="begin"/>
    </w:r>
    <w:r>
      <w:rPr>
        <w:rStyle w:val="18"/>
      </w:rPr>
      <w:instrText xml:space="preserve">PAGE  </w:instrText>
    </w:r>
    <w:r>
      <w:fldChar w:fldCharType="end"/>
    </w:r>
  </w:p>
  <w:p w14:paraId="4BB7C90D">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E09D1">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106F6">
    <w:pPr>
      <w:pStyle w:val="8"/>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0764C4A">
                          <w:pPr>
                            <w:pStyle w:val="12"/>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00764C4A">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93F8">
    <w:pPr>
      <w:jc w:val="left"/>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99B4504">
                          <w:pPr>
                            <w:pStyle w:val="12"/>
                          </w:pPr>
                          <w:r>
                            <w:fldChar w:fldCharType="begin"/>
                          </w:r>
                          <w:r>
                            <w:instrText xml:space="preserve"> PAGE  \* MERGEFORMAT </w:instrText>
                          </w:r>
                          <w:r>
                            <w:fldChar w:fldCharType="separate"/>
                          </w:r>
                          <w:r>
                            <w:t>- 103 -</w:t>
                          </w:r>
                          <w:r>
                            <w:fldChar w:fldCharType="end"/>
                          </w:r>
                        </w:p>
                      </w:txbxContent>
                    </wps:txbx>
                    <wps:bodyPr vert="horz" wrap="none" lIns="0" tIns="0" rIns="0" bIns="0" anchor="t">
                      <a:spAutoFit/>
                    </wps:bodyPr>
                  </wps:wsp>
                </a:graphicData>
              </a:graphic>
            </wp:anchor>
          </w:drawing>
        </mc:Choice>
        <mc:Fallback>
          <w:pict>
            <v:rect id="文本框 1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IutE0zKAQAAkwMAAA4AAAAAAAAAAQAgAAAAHwEAAGRycy9lMm9E&#10;b2MueG1sUEsFBgAAAAAGAAYAWQEAAFsFAAAAAA==&#10;">
              <v:fill on="f" focussize="0,0"/>
              <v:stroke on="f"/>
              <v:imagedata o:title=""/>
              <o:lock v:ext="edit" aspectratio="f"/>
              <v:textbox inset="0mm,0mm,0mm,0mm" style="mso-fit-shape-to-text:t;">
                <w:txbxContent>
                  <w:p w14:paraId="399B4504">
                    <w:pPr>
                      <w:pStyle w:val="12"/>
                    </w:pPr>
                    <w:r>
                      <w:fldChar w:fldCharType="begin"/>
                    </w:r>
                    <w:r>
                      <w:instrText xml:space="preserve"> PAGE  \* MERGEFORMAT </w:instrText>
                    </w:r>
                    <w:r>
                      <w:fldChar w:fldCharType="separate"/>
                    </w:r>
                    <w:r>
                      <w:t>- 103 -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E3658">
    <w:pPr>
      <w:tabs>
        <w:tab w:val="center" w:pos="4156"/>
        <w:tab w:val="right" w:pos="8312"/>
      </w:tabs>
      <w:snapToGrid w:val="0"/>
      <w:spacing w:after="240" w:afterLines="100"/>
      <w:rPr>
        <w:rFonts w:ascii="Times New Roman" w:hAnsi="Times New Roman" w:cs="Times New Roman"/>
        <w:sz w:val="20"/>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C5482">
    <w:pPr>
      <w:tabs>
        <w:tab w:val="center" w:pos="4156"/>
        <w:tab w:val="right" w:pos="8312"/>
      </w:tabs>
      <w:snapToGrid w:val="0"/>
      <w:spacing w:after="240" w:afterLines="100"/>
      <w:rPr>
        <w:rFonts w:ascii="Times New Roman" w:hAnsi="Times New Roman" w:cs="Times New Roman"/>
        <w:sz w:val="20"/>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7FA9">
    <w:pPr>
      <w:tabs>
        <w:tab w:val="center" w:pos="4156"/>
        <w:tab w:val="right" w:pos="8312"/>
      </w:tabs>
      <w:snapToGrid w:val="0"/>
      <w:spacing w:after="240" w:afterLines="100"/>
      <w:rPr>
        <w:rFonts w:ascii="Times New Roman" w:hAnsi="Times New Roman" w:cs="Times New Roman"/>
        <w:sz w:val="20"/>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8068B8"/>
    <w:multiLevelType w:val="singleLevel"/>
    <w:tmpl w:val="848068B8"/>
    <w:lvl w:ilvl="0" w:tentative="0">
      <w:start w:val="7"/>
      <w:numFmt w:val="decimal"/>
      <w:suff w:val="nothing"/>
      <w:lvlText w:val="%1．"/>
      <w:lvlJc w:val="left"/>
    </w:lvl>
  </w:abstractNum>
  <w:abstractNum w:abstractNumId="1">
    <w:nsid w:val="DF7078D6"/>
    <w:multiLevelType w:val="singleLevel"/>
    <w:tmpl w:val="DF7078D6"/>
    <w:lvl w:ilvl="0" w:tentative="0">
      <w:start w:val="1"/>
      <w:numFmt w:val="decimal"/>
      <w:suff w:val="nothing"/>
      <w:lvlText w:val="%1、"/>
      <w:lvlJc w:val="left"/>
    </w:lvl>
  </w:abstractNum>
  <w:abstractNum w:abstractNumId="2">
    <w:nsid w:val="E620699C"/>
    <w:multiLevelType w:val="singleLevel"/>
    <w:tmpl w:val="E620699C"/>
    <w:lvl w:ilvl="0" w:tentative="0">
      <w:start w:val="1"/>
      <w:numFmt w:val="decimal"/>
      <w:lvlText w:val="%1."/>
      <w:lvlJc w:val="left"/>
      <w:pPr>
        <w:tabs>
          <w:tab w:val="left" w:pos="312"/>
        </w:tabs>
      </w:pPr>
    </w:lvl>
  </w:abstractNum>
  <w:abstractNum w:abstractNumId="3">
    <w:nsid w:val="00000002"/>
    <w:multiLevelType w:val="singleLevel"/>
    <w:tmpl w:val="00000002"/>
    <w:lvl w:ilvl="0" w:tentative="0">
      <w:start w:val="1"/>
      <w:numFmt w:val="decimal"/>
      <w:suff w:val="nothing"/>
      <w:lvlText w:val="%1、"/>
      <w:lvlJc w:val="left"/>
    </w:lvl>
  </w:abstractNum>
  <w:abstractNum w:abstractNumId="4">
    <w:nsid w:val="00000005"/>
    <w:multiLevelType w:val="multilevel"/>
    <w:tmpl w:val="00000005"/>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A"/>
    <w:multiLevelType w:val="multilevel"/>
    <w:tmpl w:val="0000000A"/>
    <w:lvl w:ilvl="0" w:tentative="0">
      <w:start w:val="1"/>
      <w:numFmt w:val="chineseCountingThousand"/>
      <w:lvlText w:val="%1、"/>
      <w:lvlJc w:val="left"/>
      <w:pPr>
        <w:ind w:left="720" w:hanging="720"/>
      </w:pPr>
      <w:rPr>
        <w:rFonts w:hint="eastAsia" w:ascii="宋体" w:eastAsia="宋体"/>
        <w:b w:val="0"/>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681499B"/>
    <w:multiLevelType w:val="singleLevel"/>
    <w:tmpl w:val="0681499B"/>
    <w:lvl w:ilvl="0" w:tentative="0">
      <w:start w:val="1"/>
      <w:numFmt w:val="decimal"/>
      <w:lvlText w:val="%1."/>
      <w:lvlJc w:val="left"/>
      <w:pPr>
        <w:tabs>
          <w:tab w:val="left" w:pos="312"/>
        </w:tabs>
      </w:pPr>
    </w:lvl>
  </w:abstractNum>
  <w:abstractNum w:abstractNumId="7">
    <w:nsid w:val="0C2F1729"/>
    <w:multiLevelType w:val="singleLevel"/>
    <w:tmpl w:val="0C2F1729"/>
    <w:lvl w:ilvl="0" w:tentative="0">
      <w:start w:val="2"/>
      <w:numFmt w:val="chineseCounting"/>
      <w:suff w:val="space"/>
      <w:lvlText w:val="%1、"/>
      <w:lvlJc w:val="left"/>
      <w:rPr>
        <w:rFonts w:hint="eastAsia"/>
      </w:rPr>
    </w:lvl>
  </w:abstractNum>
  <w:abstractNum w:abstractNumId="8">
    <w:nsid w:val="26B254FE"/>
    <w:multiLevelType w:val="singleLevel"/>
    <w:tmpl w:val="26B254FE"/>
    <w:lvl w:ilvl="0" w:tentative="0">
      <w:start w:val="3"/>
      <w:numFmt w:val="chineseCounting"/>
      <w:suff w:val="space"/>
      <w:lvlText w:val="第%1章"/>
      <w:lvlJc w:val="left"/>
      <w:rPr>
        <w:rFonts w:hint="eastAsia"/>
      </w:rPr>
    </w:lvl>
  </w:abstractNum>
  <w:abstractNum w:abstractNumId="9">
    <w:nsid w:val="56DF12D3"/>
    <w:multiLevelType w:val="singleLevel"/>
    <w:tmpl w:val="56DF12D3"/>
    <w:lvl w:ilvl="0" w:tentative="0">
      <w:start w:val="19"/>
      <w:numFmt w:val="chineseCounting"/>
      <w:suff w:val="nothing"/>
      <w:lvlText w:val="%1、"/>
      <w:lvlJc w:val="left"/>
      <w:rPr>
        <w:rFonts w:hint="eastAsia"/>
      </w:rPr>
    </w:lvl>
  </w:abstractNum>
  <w:num w:numId="1">
    <w:abstractNumId w:val="0"/>
  </w:num>
  <w:num w:numId="2">
    <w:abstractNumId w:val="6"/>
  </w:num>
  <w:num w:numId="3">
    <w:abstractNumId w:val="2"/>
  </w:num>
  <w:num w:numId="4">
    <w:abstractNumId w:val="3"/>
  </w:num>
  <w:num w:numId="5">
    <w:abstractNumId w:val="8"/>
  </w:num>
  <w:num w:numId="6">
    <w:abstractNumId w:val="1"/>
  </w:num>
  <w:num w:numId="7">
    <w:abstractNumId w:val="9"/>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69707B5B"/>
    <w:rsid w:val="00351550"/>
    <w:rsid w:val="00467767"/>
    <w:rsid w:val="00CA2E5B"/>
    <w:rsid w:val="00E71F1A"/>
    <w:rsid w:val="010075EB"/>
    <w:rsid w:val="01CC222F"/>
    <w:rsid w:val="01E63672"/>
    <w:rsid w:val="0278692A"/>
    <w:rsid w:val="028E295E"/>
    <w:rsid w:val="029D1C2C"/>
    <w:rsid w:val="02CC6036"/>
    <w:rsid w:val="02E1776D"/>
    <w:rsid w:val="02E47E7B"/>
    <w:rsid w:val="03100052"/>
    <w:rsid w:val="037F30F7"/>
    <w:rsid w:val="03A06576"/>
    <w:rsid w:val="040D036A"/>
    <w:rsid w:val="04732C2D"/>
    <w:rsid w:val="04EA4768"/>
    <w:rsid w:val="0565073F"/>
    <w:rsid w:val="05743D18"/>
    <w:rsid w:val="057C4534"/>
    <w:rsid w:val="05CA10AD"/>
    <w:rsid w:val="061D3270"/>
    <w:rsid w:val="06A706FF"/>
    <w:rsid w:val="06A97C15"/>
    <w:rsid w:val="06C10B96"/>
    <w:rsid w:val="06E30731"/>
    <w:rsid w:val="06FA69DA"/>
    <w:rsid w:val="070C3201"/>
    <w:rsid w:val="07225EE1"/>
    <w:rsid w:val="07C10322"/>
    <w:rsid w:val="08C73537"/>
    <w:rsid w:val="09947AFC"/>
    <w:rsid w:val="09C11DA9"/>
    <w:rsid w:val="0A182626"/>
    <w:rsid w:val="0A9458FA"/>
    <w:rsid w:val="0B0B282B"/>
    <w:rsid w:val="0B6816FD"/>
    <w:rsid w:val="0B8B3995"/>
    <w:rsid w:val="0C774C9E"/>
    <w:rsid w:val="0C9B7B18"/>
    <w:rsid w:val="0CA90A34"/>
    <w:rsid w:val="0CC51CA3"/>
    <w:rsid w:val="0D8840E4"/>
    <w:rsid w:val="0DF32305"/>
    <w:rsid w:val="0E2B432C"/>
    <w:rsid w:val="0E6C0832"/>
    <w:rsid w:val="0EF10E5F"/>
    <w:rsid w:val="0F5B73EF"/>
    <w:rsid w:val="0FC033BE"/>
    <w:rsid w:val="100E34D8"/>
    <w:rsid w:val="10BF00B0"/>
    <w:rsid w:val="10F85326"/>
    <w:rsid w:val="11697955"/>
    <w:rsid w:val="12285ED5"/>
    <w:rsid w:val="12553C11"/>
    <w:rsid w:val="12607D1F"/>
    <w:rsid w:val="12892D8A"/>
    <w:rsid w:val="13461166"/>
    <w:rsid w:val="13611248"/>
    <w:rsid w:val="13D529D6"/>
    <w:rsid w:val="13F03DEE"/>
    <w:rsid w:val="145F3F63"/>
    <w:rsid w:val="146B50E8"/>
    <w:rsid w:val="148550BB"/>
    <w:rsid w:val="14A23686"/>
    <w:rsid w:val="14B252D3"/>
    <w:rsid w:val="152B5036"/>
    <w:rsid w:val="152F6116"/>
    <w:rsid w:val="153776F1"/>
    <w:rsid w:val="15842387"/>
    <w:rsid w:val="15A25673"/>
    <w:rsid w:val="15AB4546"/>
    <w:rsid w:val="15B50867"/>
    <w:rsid w:val="15C507BF"/>
    <w:rsid w:val="15F630D7"/>
    <w:rsid w:val="15F663FC"/>
    <w:rsid w:val="168B1872"/>
    <w:rsid w:val="169361BA"/>
    <w:rsid w:val="16B73C96"/>
    <w:rsid w:val="16CD598C"/>
    <w:rsid w:val="171A4BA4"/>
    <w:rsid w:val="177B4732"/>
    <w:rsid w:val="17AC70E3"/>
    <w:rsid w:val="181F13D6"/>
    <w:rsid w:val="18AA7167"/>
    <w:rsid w:val="18F02060"/>
    <w:rsid w:val="19AA36AD"/>
    <w:rsid w:val="19C017A7"/>
    <w:rsid w:val="1A1F3A85"/>
    <w:rsid w:val="1A570A4A"/>
    <w:rsid w:val="1A5D1B2A"/>
    <w:rsid w:val="1B6F1962"/>
    <w:rsid w:val="1B8F790E"/>
    <w:rsid w:val="1B9F3E1C"/>
    <w:rsid w:val="1BB67BE8"/>
    <w:rsid w:val="1BF105C9"/>
    <w:rsid w:val="1C4F4A80"/>
    <w:rsid w:val="1C8C073D"/>
    <w:rsid w:val="1C8D762C"/>
    <w:rsid w:val="1C934712"/>
    <w:rsid w:val="1CE90183"/>
    <w:rsid w:val="1D0C4F8F"/>
    <w:rsid w:val="1D92375E"/>
    <w:rsid w:val="1DC21303"/>
    <w:rsid w:val="1E312EFF"/>
    <w:rsid w:val="1F6E53CE"/>
    <w:rsid w:val="1F761B89"/>
    <w:rsid w:val="208E28AB"/>
    <w:rsid w:val="20AE75E0"/>
    <w:rsid w:val="20BE27EC"/>
    <w:rsid w:val="20D9332B"/>
    <w:rsid w:val="2138567F"/>
    <w:rsid w:val="21626E3A"/>
    <w:rsid w:val="21B8750B"/>
    <w:rsid w:val="21BE2132"/>
    <w:rsid w:val="22004FE5"/>
    <w:rsid w:val="22356AB5"/>
    <w:rsid w:val="23362726"/>
    <w:rsid w:val="24802926"/>
    <w:rsid w:val="24953CA0"/>
    <w:rsid w:val="24956E56"/>
    <w:rsid w:val="253A2EBB"/>
    <w:rsid w:val="254B6F9C"/>
    <w:rsid w:val="25EA7EB8"/>
    <w:rsid w:val="264F6DD7"/>
    <w:rsid w:val="26773616"/>
    <w:rsid w:val="26793C09"/>
    <w:rsid w:val="267C147F"/>
    <w:rsid w:val="26BD7C79"/>
    <w:rsid w:val="26F15921"/>
    <w:rsid w:val="274E5EF9"/>
    <w:rsid w:val="27627BE6"/>
    <w:rsid w:val="27647DBD"/>
    <w:rsid w:val="2781161A"/>
    <w:rsid w:val="286941CF"/>
    <w:rsid w:val="29263E1F"/>
    <w:rsid w:val="295108F9"/>
    <w:rsid w:val="29B43C73"/>
    <w:rsid w:val="29D56D78"/>
    <w:rsid w:val="2A44045E"/>
    <w:rsid w:val="2A8C33B9"/>
    <w:rsid w:val="2AB36371"/>
    <w:rsid w:val="2B3A76B1"/>
    <w:rsid w:val="2B454E60"/>
    <w:rsid w:val="2B860E87"/>
    <w:rsid w:val="2C1E6D4D"/>
    <w:rsid w:val="2C536736"/>
    <w:rsid w:val="2CE7319B"/>
    <w:rsid w:val="2D5A00A7"/>
    <w:rsid w:val="2D70456D"/>
    <w:rsid w:val="2E034B4D"/>
    <w:rsid w:val="2E155A37"/>
    <w:rsid w:val="2E361EDF"/>
    <w:rsid w:val="2F6D7B0F"/>
    <w:rsid w:val="2FCB3786"/>
    <w:rsid w:val="2FDB0D50"/>
    <w:rsid w:val="301063A8"/>
    <w:rsid w:val="3011493E"/>
    <w:rsid w:val="304869A0"/>
    <w:rsid w:val="30FE53D5"/>
    <w:rsid w:val="314B0360"/>
    <w:rsid w:val="31CD1789"/>
    <w:rsid w:val="31DE14E1"/>
    <w:rsid w:val="32091E9B"/>
    <w:rsid w:val="32CD7638"/>
    <w:rsid w:val="33F558C2"/>
    <w:rsid w:val="34474DD2"/>
    <w:rsid w:val="34603D49"/>
    <w:rsid w:val="365A7C39"/>
    <w:rsid w:val="36A32F80"/>
    <w:rsid w:val="36D6728F"/>
    <w:rsid w:val="37561610"/>
    <w:rsid w:val="375A27EB"/>
    <w:rsid w:val="376C483A"/>
    <w:rsid w:val="376E70A4"/>
    <w:rsid w:val="387E4A53"/>
    <w:rsid w:val="390E0B05"/>
    <w:rsid w:val="39445D84"/>
    <w:rsid w:val="3952499F"/>
    <w:rsid w:val="39575962"/>
    <w:rsid w:val="39902D77"/>
    <w:rsid w:val="39AA51DE"/>
    <w:rsid w:val="39B02BFA"/>
    <w:rsid w:val="39EE6317"/>
    <w:rsid w:val="39F35193"/>
    <w:rsid w:val="3A8469CC"/>
    <w:rsid w:val="3AA06286"/>
    <w:rsid w:val="3B27256B"/>
    <w:rsid w:val="3B29323F"/>
    <w:rsid w:val="3B554279"/>
    <w:rsid w:val="3B6A05DB"/>
    <w:rsid w:val="3B975041"/>
    <w:rsid w:val="3BC27434"/>
    <w:rsid w:val="3C101F4E"/>
    <w:rsid w:val="3D6B1F93"/>
    <w:rsid w:val="3E0E6961"/>
    <w:rsid w:val="3F2971FC"/>
    <w:rsid w:val="3F3F3C49"/>
    <w:rsid w:val="3FBB7F53"/>
    <w:rsid w:val="407E7DCE"/>
    <w:rsid w:val="408406BC"/>
    <w:rsid w:val="40A96612"/>
    <w:rsid w:val="40C51892"/>
    <w:rsid w:val="40D02E27"/>
    <w:rsid w:val="412B65B5"/>
    <w:rsid w:val="41CD4433"/>
    <w:rsid w:val="424C6DB9"/>
    <w:rsid w:val="4287491A"/>
    <w:rsid w:val="429168C1"/>
    <w:rsid w:val="42C30A10"/>
    <w:rsid w:val="430A0B7A"/>
    <w:rsid w:val="43220884"/>
    <w:rsid w:val="432F1853"/>
    <w:rsid w:val="43EC504E"/>
    <w:rsid w:val="44054FCB"/>
    <w:rsid w:val="44A24D6D"/>
    <w:rsid w:val="44B977B9"/>
    <w:rsid w:val="456B4628"/>
    <w:rsid w:val="45997EF3"/>
    <w:rsid w:val="4603688D"/>
    <w:rsid w:val="463159DA"/>
    <w:rsid w:val="466E0603"/>
    <w:rsid w:val="469850DD"/>
    <w:rsid w:val="469A000B"/>
    <w:rsid w:val="46ED1809"/>
    <w:rsid w:val="476F66C2"/>
    <w:rsid w:val="47953C4F"/>
    <w:rsid w:val="47D91081"/>
    <w:rsid w:val="47F10D9C"/>
    <w:rsid w:val="484E5ED9"/>
    <w:rsid w:val="48C936A9"/>
    <w:rsid w:val="48D01B60"/>
    <w:rsid w:val="48F50839"/>
    <w:rsid w:val="4AB209CE"/>
    <w:rsid w:val="4AD1038D"/>
    <w:rsid w:val="4ADF10D1"/>
    <w:rsid w:val="4B1D6FAC"/>
    <w:rsid w:val="4BB8687F"/>
    <w:rsid w:val="4BC34C6A"/>
    <w:rsid w:val="4C0A5AA2"/>
    <w:rsid w:val="4C20442F"/>
    <w:rsid w:val="4C3645D0"/>
    <w:rsid w:val="4C9E35A6"/>
    <w:rsid w:val="4CD30F6F"/>
    <w:rsid w:val="4CFC1E5F"/>
    <w:rsid w:val="4D534C7E"/>
    <w:rsid w:val="4D9547E9"/>
    <w:rsid w:val="4DE73303"/>
    <w:rsid w:val="4DF0398D"/>
    <w:rsid w:val="4DF9341C"/>
    <w:rsid w:val="4E2E31CA"/>
    <w:rsid w:val="4E696776"/>
    <w:rsid w:val="4E9E4717"/>
    <w:rsid w:val="4EC015B1"/>
    <w:rsid w:val="50593A6B"/>
    <w:rsid w:val="50EF1F01"/>
    <w:rsid w:val="522C76E0"/>
    <w:rsid w:val="524D21A7"/>
    <w:rsid w:val="52C14EA8"/>
    <w:rsid w:val="52E54BDE"/>
    <w:rsid w:val="5326496F"/>
    <w:rsid w:val="53537CF0"/>
    <w:rsid w:val="53803A05"/>
    <w:rsid w:val="53DA7A10"/>
    <w:rsid w:val="54AC733F"/>
    <w:rsid w:val="554C34EE"/>
    <w:rsid w:val="554D02FB"/>
    <w:rsid w:val="555667CB"/>
    <w:rsid w:val="55583378"/>
    <w:rsid w:val="55A76A84"/>
    <w:rsid w:val="55F96001"/>
    <w:rsid w:val="56097806"/>
    <w:rsid w:val="56537AC2"/>
    <w:rsid w:val="567201D4"/>
    <w:rsid w:val="56E35D76"/>
    <w:rsid w:val="56F444EE"/>
    <w:rsid w:val="57423096"/>
    <w:rsid w:val="579F6518"/>
    <w:rsid w:val="57A66EC2"/>
    <w:rsid w:val="57F16823"/>
    <w:rsid w:val="581477D3"/>
    <w:rsid w:val="58161436"/>
    <w:rsid w:val="58190141"/>
    <w:rsid w:val="584F6F05"/>
    <w:rsid w:val="586411C7"/>
    <w:rsid w:val="586F0256"/>
    <w:rsid w:val="58CE54E5"/>
    <w:rsid w:val="593645DE"/>
    <w:rsid w:val="59A33053"/>
    <w:rsid w:val="59B94275"/>
    <w:rsid w:val="59D176E2"/>
    <w:rsid w:val="5A8A591B"/>
    <w:rsid w:val="5ADE5C44"/>
    <w:rsid w:val="5B1D360B"/>
    <w:rsid w:val="5B812DCF"/>
    <w:rsid w:val="5BCE37CF"/>
    <w:rsid w:val="5BFF02F1"/>
    <w:rsid w:val="5DC6470A"/>
    <w:rsid w:val="5EC7698C"/>
    <w:rsid w:val="5F5F0972"/>
    <w:rsid w:val="5FB7255D"/>
    <w:rsid w:val="6026148F"/>
    <w:rsid w:val="60E23C3E"/>
    <w:rsid w:val="61093C77"/>
    <w:rsid w:val="610C7A7F"/>
    <w:rsid w:val="617A5C1E"/>
    <w:rsid w:val="61BA67DE"/>
    <w:rsid w:val="61C77312"/>
    <w:rsid w:val="625724AA"/>
    <w:rsid w:val="62897BB1"/>
    <w:rsid w:val="629770E6"/>
    <w:rsid w:val="63142348"/>
    <w:rsid w:val="63A837B5"/>
    <w:rsid w:val="64192CFA"/>
    <w:rsid w:val="64B04B11"/>
    <w:rsid w:val="64BF2D8F"/>
    <w:rsid w:val="64CC2125"/>
    <w:rsid w:val="64CE0807"/>
    <w:rsid w:val="64DA367B"/>
    <w:rsid w:val="65741DFD"/>
    <w:rsid w:val="662B15AE"/>
    <w:rsid w:val="66E86B8B"/>
    <w:rsid w:val="67C73A32"/>
    <w:rsid w:val="67E949BD"/>
    <w:rsid w:val="67FC13A8"/>
    <w:rsid w:val="687F3E33"/>
    <w:rsid w:val="689B0BC6"/>
    <w:rsid w:val="68B676F3"/>
    <w:rsid w:val="68BB6FC0"/>
    <w:rsid w:val="69106FC2"/>
    <w:rsid w:val="691C52EC"/>
    <w:rsid w:val="694330B3"/>
    <w:rsid w:val="695D7072"/>
    <w:rsid w:val="69623BE2"/>
    <w:rsid w:val="69707B5B"/>
    <w:rsid w:val="6A694D9B"/>
    <w:rsid w:val="6ACE72AD"/>
    <w:rsid w:val="6B3D425E"/>
    <w:rsid w:val="6B6B2AE0"/>
    <w:rsid w:val="6B8D1939"/>
    <w:rsid w:val="6B9540A4"/>
    <w:rsid w:val="6BC10AD9"/>
    <w:rsid w:val="6BD04E5C"/>
    <w:rsid w:val="6C384713"/>
    <w:rsid w:val="6CC53F6E"/>
    <w:rsid w:val="6DF25BEE"/>
    <w:rsid w:val="6E22598D"/>
    <w:rsid w:val="6E2B1236"/>
    <w:rsid w:val="6E351FAB"/>
    <w:rsid w:val="6E3A3A92"/>
    <w:rsid w:val="6E696B31"/>
    <w:rsid w:val="6EB506B2"/>
    <w:rsid w:val="6ECF4ECB"/>
    <w:rsid w:val="6EE90259"/>
    <w:rsid w:val="6F1C062E"/>
    <w:rsid w:val="6F592FA2"/>
    <w:rsid w:val="6FAD1286"/>
    <w:rsid w:val="700D3738"/>
    <w:rsid w:val="70161236"/>
    <w:rsid w:val="706A799A"/>
    <w:rsid w:val="70FA7172"/>
    <w:rsid w:val="714026E6"/>
    <w:rsid w:val="71A772E2"/>
    <w:rsid w:val="721469FD"/>
    <w:rsid w:val="72155D12"/>
    <w:rsid w:val="72264D1E"/>
    <w:rsid w:val="73AC0D2D"/>
    <w:rsid w:val="73B01DAA"/>
    <w:rsid w:val="74F60D5D"/>
    <w:rsid w:val="75854632"/>
    <w:rsid w:val="759D0D09"/>
    <w:rsid w:val="76596E4D"/>
    <w:rsid w:val="76854D0B"/>
    <w:rsid w:val="7725204A"/>
    <w:rsid w:val="772C33D8"/>
    <w:rsid w:val="777A4144"/>
    <w:rsid w:val="778C0810"/>
    <w:rsid w:val="78434E7D"/>
    <w:rsid w:val="78980F5E"/>
    <w:rsid w:val="78B34086"/>
    <w:rsid w:val="78D10A24"/>
    <w:rsid w:val="78EC0FC7"/>
    <w:rsid w:val="78FF56DF"/>
    <w:rsid w:val="79327699"/>
    <w:rsid w:val="79A712FC"/>
    <w:rsid w:val="79B576B5"/>
    <w:rsid w:val="79CB02C9"/>
    <w:rsid w:val="79E7658E"/>
    <w:rsid w:val="7ABB0CFB"/>
    <w:rsid w:val="7B7D6831"/>
    <w:rsid w:val="7BD075C8"/>
    <w:rsid w:val="7BDD17B9"/>
    <w:rsid w:val="7C7C2EDB"/>
    <w:rsid w:val="7D203F29"/>
    <w:rsid w:val="7D603DDC"/>
    <w:rsid w:val="7D762A21"/>
    <w:rsid w:val="7D803E3F"/>
    <w:rsid w:val="7DF6730A"/>
    <w:rsid w:val="7E8E5087"/>
    <w:rsid w:val="7ED97A2F"/>
    <w:rsid w:val="7EFC1A8C"/>
    <w:rsid w:val="7F3B3FDA"/>
    <w:rsid w:val="7F6830D8"/>
    <w:rsid w:val="7F9A4252"/>
    <w:rsid w:val="7F9B6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autoRedefine/>
    <w:qFormat/>
    <w:uiPriority w:val="0"/>
    <w:pPr>
      <w:keepNext/>
      <w:keepLines/>
      <w:spacing w:line="360" w:lineRule="auto"/>
      <w:outlineLvl w:val="0"/>
    </w:pPr>
    <w:rPr>
      <w:rFonts w:ascii="Times New Roman" w:hAnsi="Times New Roman" w:cs="Times New Roman"/>
      <w:b/>
      <w:bCs/>
      <w:kern w:val="44"/>
      <w:sz w:val="32"/>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Times New Roman"/>
      <w:b/>
      <w:bCs/>
      <w:sz w:val="32"/>
      <w:szCs w:val="32"/>
    </w:rPr>
  </w:style>
  <w:style w:type="paragraph" w:styleId="4">
    <w:name w:val="heading 3"/>
    <w:basedOn w:val="1"/>
    <w:next w:val="1"/>
    <w:autoRedefine/>
    <w:qFormat/>
    <w:uiPriority w:val="0"/>
    <w:pPr>
      <w:keepNext/>
      <w:keepLines/>
      <w:spacing w:line="360" w:lineRule="auto"/>
      <w:outlineLvl w:val="2"/>
    </w:pPr>
    <w:rPr>
      <w:rFonts w:ascii="Times New Roman" w:hAnsi="Times New Roman" w:cs="Times New Roman"/>
      <w:b/>
      <w:bCs/>
      <w:sz w:val="24"/>
      <w:szCs w:val="32"/>
    </w:rPr>
  </w:style>
  <w:style w:type="paragraph" w:styleId="5">
    <w:name w:val="heading 4"/>
    <w:basedOn w:val="1"/>
    <w:next w:val="1"/>
    <w:autoRedefine/>
    <w:qFormat/>
    <w:uiPriority w:val="0"/>
    <w:pPr>
      <w:keepNext/>
      <w:keepLines/>
      <w:spacing w:line="360" w:lineRule="auto"/>
      <w:outlineLvl w:val="3"/>
    </w:pPr>
    <w:rPr>
      <w:rFonts w:ascii="Arial" w:hAnsi="Arial" w:cs="Times New Roman"/>
      <w:b/>
      <w:bCs/>
      <w:szCs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6">
    <w:name w:val="Normal Indent"/>
    <w:basedOn w:val="1"/>
    <w:next w:val="1"/>
    <w:autoRedefine/>
    <w:qFormat/>
    <w:uiPriority w:val="0"/>
    <w:pPr>
      <w:widowControl/>
      <w:spacing w:before="100" w:beforeLines="0" w:beforeAutospacing="1" w:after="100" w:afterLines="0" w:afterAutospacing="1"/>
      <w:jc w:val="left"/>
    </w:pPr>
    <w:rPr>
      <w:rFonts w:ascii="宋体" w:hAnsi="宋体"/>
      <w:kern w:val="0"/>
      <w:sz w:val="24"/>
      <w:szCs w:val="24"/>
    </w:rPr>
  </w:style>
  <w:style w:type="paragraph" w:styleId="7">
    <w:name w:val="annotation text"/>
    <w:basedOn w:val="1"/>
    <w:autoRedefine/>
    <w:qFormat/>
    <w:uiPriority w:val="0"/>
    <w:pPr>
      <w:spacing w:line="500" w:lineRule="exact"/>
      <w:ind w:firstLine="200" w:firstLineChars="200"/>
      <w:jc w:val="left"/>
    </w:pPr>
    <w:rPr>
      <w:rFonts w:ascii="Times New Roman" w:hAnsi="Times New Roman" w:cs="Times New Roman"/>
      <w:szCs w:val="24"/>
    </w:rPr>
  </w:style>
  <w:style w:type="paragraph" w:styleId="8">
    <w:name w:val="Body Text"/>
    <w:basedOn w:val="1"/>
    <w:next w:val="1"/>
    <w:autoRedefine/>
    <w:qFormat/>
    <w:uiPriority w:val="0"/>
    <w:pPr>
      <w:spacing w:after="120"/>
    </w:pPr>
    <w:rPr>
      <w:rFonts w:ascii="Times New Roman" w:hAnsi="Times New Roman" w:cs="Times New Roman"/>
      <w:szCs w:val="24"/>
    </w:rPr>
  </w:style>
  <w:style w:type="paragraph" w:styleId="9">
    <w:name w:val="Body Text Indent"/>
    <w:basedOn w:val="1"/>
    <w:next w:val="10"/>
    <w:autoRedefine/>
    <w:qFormat/>
    <w:uiPriority w:val="0"/>
    <w:pPr>
      <w:spacing w:after="120"/>
      <w:ind w:left="420" w:leftChars="200"/>
    </w:pPr>
    <w:rPr>
      <w:rFonts w:ascii="Times New Roman" w:hAnsi="Times New Roman" w:cs="Times New Roman"/>
      <w:szCs w:val="24"/>
    </w:rPr>
  </w:style>
  <w:style w:type="paragraph" w:styleId="10">
    <w:name w:val="envelope return"/>
    <w:basedOn w:val="1"/>
    <w:autoRedefine/>
    <w:qFormat/>
    <w:uiPriority w:val="0"/>
    <w:rPr>
      <w:rFonts w:hAnsi="Arial"/>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99"/>
    <w:pPr>
      <w:tabs>
        <w:tab w:val="center" w:pos="4153"/>
        <w:tab w:val="right" w:pos="8306"/>
      </w:tabs>
      <w:snapToGrid w:val="0"/>
      <w:jc w:val="left"/>
    </w:pPr>
    <w:rPr>
      <w:sz w:val="18"/>
      <w:szCs w:val="18"/>
    </w:rPr>
  </w:style>
  <w:style w:type="paragraph" w:styleId="13">
    <w:name w:val="toc 1"/>
    <w:basedOn w:val="1"/>
    <w:next w:val="1"/>
    <w:autoRedefine/>
    <w:qFormat/>
    <w:uiPriority w:val="0"/>
    <w:pPr>
      <w:tabs>
        <w:tab w:val="right" w:leader="dot" w:pos="9180"/>
      </w:tabs>
    </w:pPr>
    <w:rPr>
      <w:rFonts w:ascii="Times New Roman" w:hAnsi="Times New Roman" w:cs="Times New Roman"/>
      <w:b/>
      <w:color w:val="0000FF"/>
      <w:szCs w:val="24"/>
    </w:rPr>
  </w:style>
  <w:style w:type="paragraph" w:styleId="14">
    <w:name w:val="Body Text First Indent 2"/>
    <w:basedOn w:val="9"/>
    <w:next w:val="1"/>
    <w:autoRedefine/>
    <w:qFormat/>
    <w:uiPriority w:val="99"/>
    <w:pPr>
      <w:spacing w:line="360" w:lineRule="auto"/>
      <w:ind w:firstLine="420"/>
    </w:pPr>
    <w:rPr>
      <w:rFonts w:ascii="宋体"/>
      <w:kern w:val="0"/>
      <w:sz w:val="28"/>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annotation reference"/>
    <w:autoRedefine/>
    <w:qFormat/>
    <w:uiPriority w:val="0"/>
    <w:rPr>
      <w:sz w:val="21"/>
      <w:szCs w:val="21"/>
    </w:rPr>
  </w:style>
  <w:style w:type="paragraph" w:customStyle="1" w:styleId="20">
    <w:name w:val="引用1"/>
    <w:basedOn w:val="1"/>
    <w:next w:val="1"/>
    <w:autoRedefine/>
    <w:qFormat/>
    <w:uiPriority w:val="0"/>
    <w:pPr>
      <w:widowControl/>
      <w:spacing w:line="400" w:lineRule="exact"/>
      <w:ind w:firstLine="420" w:firstLineChars="200"/>
    </w:pPr>
    <w:rPr>
      <w:i/>
      <w:color w:val="000000"/>
      <w:sz w:val="22"/>
    </w:rPr>
  </w:style>
  <w:style w:type="paragraph" w:customStyle="1" w:styleId="21">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22">
    <w:name w:val="List Paragraph"/>
    <w:basedOn w:val="1"/>
    <w:autoRedefine/>
    <w:qFormat/>
    <w:uiPriority w:val="0"/>
    <w:pPr>
      <w:spacing w:line="500" w:lineRule="exact"/>
      <w:ind w:firstLine="420" w:firstLineChars="200"/>
    </w:pPr>
    <w:rPr>
      <w:rFonts w:ascii="Times New Roman" w:hAnsi="Times New Roman" w:cs="Times New Roman"/>
      <w:szCs w:val="24"/>
    </w:rPr>
  </w:style>
  <w:style w:type="paragraph" w:customStyle="1" w:styleId="23">
    <w:name w:val="GW-正文"/>
    <w:basedOn w:val="1"/>
    <w:autoRedefine/>
    <w:qFormat/>
    <w:uiPriority w:val="0"/>
    <w:pPr>
      <w:spacing w:line="360" w:lineRule="auto"/>
      <w:ind w:firstLine="200" w:firstLineChars="200"/>
    </w:pPr>
    <w:rPr>
      <w:rFonts w:ascii="Times New Roman" w:hAnsi="Times New Roman" w:eastAsia="仿宋_GB2312"/>
      <w:kern w:val="0"/>
      <w:sz w:val="24"/>
      <w:szCs w:val="24"/>
    </w:rPr>
  </w:style>
  <w:style w:type="paragraph" w:customStyle="1" w:styleId="24">
    <w:name w:val="p0"/>
    <w:basedOn w:val="1"/>
    <w:autoRedefine/>
    <w:qFormat/>
    <w:uiPriority w:val="0"/>
    <w:pPr>
      <w:widowControl/>
      <w:spacing w:line="500" w:lineRule="atLeast"/>
      <w:ind w:firstLine="420"/>
    </w:pPr>
    <w:rPr>
      <w:rFonts w:ascii="Times New Roman" w:hAnsi="Times New Roman" w:cs="Times New Roman"/>
      <w:kern w:val="0"/>
      <w:szCs w:val="21"/>
    </w:rPr>
  </w:style>
  <w:style w:type="paragraph" w:customStyle="1" w:styleId="25">
    <w:name w:val="样式1"/>
    <w:basedOn w:val="1"/>
    <w:autoRedefine/>
    <w:qFormat/>
    <w:uiPriority w:val="0"/>
    <w:pPr>
      <w:spacing w:line="360" w:lineRule="auto"/>
      <w:ind w:firstLine="420" w:firstLineChars="200"/>
    </w:pPr>
    <w:rPr>
      <w:rFonts w:ascii="宋体" w:hAnsi="宋体" w:cs="Times New Roman"/>
      <w:szCs w:val="21"/>
    </w:rPr>
  </w:style>
  <w:style w:type="character" w:customStyle="1" w:styleId="26">
    <w:name w:val="样式 宋体 四号"/>
    <w:autoRedefine/>
    <w:qFormat/>
    <w:uiPriority w:val="0"/>
    <w:rPr>
      <w:rFonts w:ascii="宋体" w:hAnsi="宋体" w:eastAsia="仿宋_GB2312"/>
      <w:color w:val="000000"/>
      <w:sz w:val="28"/>
      <w:szCs w:val="21"/>
    </w:rPr>
  </w:style>
  <w:style w:type="paragraph" w:customStyle="1" w:styleId="27">
    <w:name w:val="Table Paragraph"/>
    <w:basedOn w:val="1"/>
    <w:autoRedefine/>
    <w:qFormat/>
    <w:uiPriority w:val="1"/>
    <w:rPr>
      <w:rFonts w:ascii="Noto Sans CJK JP Regular" w:hAnsi="Noto Sans CJK JP Regular" w:eastAsia="Noto Sans CJK JP Regular" w:cs="Noto Sans CJK JP Regular"/>
      <w:kern w:val="0"/>
      <w:lang w:val="zh-CN" w:bidi="zh-CN"/>
    </w:rPr>
  </w:style>
  <w:style w:type="paragraph" w:customStyle="1" w:styleId="28">
    <w:name w:val="无间隔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139</Pages>
  <Words>11461</Words>
  <Characters>12311</Characters>
  <Lines>0</Lines>
  <Paragraphs>0</Paragraphs>
  <TotalTime>12</TotalTime>
  <ScaleCrop>false</ScaleCrop>
  <LinksUpToDate>false</LinksUpToDate>
  <CharactersWithSpaces>12514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2024-05-20T04:37:00Z</dcterms:created>
  <dc:creator>郭清雅</dc:creator>
  <cp:lastModifiedBy>谢欢</cp:lastModifiedBy>
  <dcterms:modified xsi:type="dcterms:W3CDTF">2025-09-24T06:41:54Z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5E212589B7FA44918780DB3E50892D26_13</vt:lpwstr>
  </property>
  <property fmtid="{D5CDD505-2E9C-101B-9397-08002B2CF9AE}" pid="4" name="KSOTemplateDocerSaveRecord">
    <vt:lpwstr>eyJoZGlkIjoiZWM1MGNkZTZhNWZlM2U4OWM3NjYxZmNmZjA3ZjJhNjYiLCJ1c2VySWQiOiIyNDE3NzI4NDMifQ==</vt:lpwstr>
  </property>
</Properties>
</file>